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78" w:rsidRPr="004B3AC1" w:rsidRDefault="00D95378" w:rsidP="00937932">
      <w:pPr>
        <w:spacing w:before="100" w:beforeAutospacing="1" w:after="100" w:afterAutospacing="1" w:line="240" w:lineRule="auto"/>
        <w:jc w:val="right"/>
        <w:rPr>
          <w:rFonts w:ascii="Arial" w:hAnsi="Arial" w:cs="Arial"/>
          <w:sz w:val="24"/>
          <w:szCs w:val="24"/>
          <w:lang w:val="es-ES"/>
        </w:rPr>
      </w:pPr>
      <w:bookmarkStart w:id="0" w:name="_GoBack"/>
      <w:bookmarkEnd w:id="0"/>
      <w:r w:rsidRPr="004B3AC1">
        <w:rPr>
          <w:rFonts w:ascii="Arial" w:hAnsi="Arial" w:cs="Arial"/>
          <w:sz w:val="24"/>
          <w:szCs w:val="24"/>
          <w:lang w:val="es-ES"/>
        </w:rPr>
        <w:t>Mérida, Yucatán, a 25 de noviembre de 2019.</w:t>
      </w:r>
    </w:p>
    <w:p w:rsidR="00D95378" w:rsidRPr="004B3AC1" w:rsidRDefault="00D95378" w:rsidP="00937932">
      <w:pPr>
        <w:spacing w:before="100" w:beforeAutospacing="1" w:after="100" w:afterAutospacing="1" w:line="240" w:lineRule="auto"/>
        <w:jc w:val="both"/>
        <w:rPr>
          <w:rFonts w:ascii="Arial" w:hAnsi="Arial" w:cs="Arial"/>
          <w:sz w:val="24"/>
          <w:szCs w:val="24"/>
          <w:lang w:val="es-ES"/>
        </w:rPr>
      </w:pPr>
      <w:r w:rsidRPr="004B3AC1">
        <w:rPr>
          <w:rFonts w:ascii="Arial" w:hAnsi="Arial" w:cs="Arial"/>
          <w:sz w:val="24"/>
          <w:szCs w:val="24"/>
          <w:lang w:val="es-ES"/>
        </w:rPr>
        <w:t>H. Congreso del Estado de Yucatán:</w:t>
      </w:r>
    </w:p>
    <w:p w:rsidR="00D95378" w:rsidRPr="004B3AC1" w:rsidRDefault="00D95378" w:rsidP="00937932">
      <w:pPr>
        <w:spacing w:before="100" w:beforeAutospacing="1" w:after="100" w:afterAutospacing="1" w:line="240" w:lineRule="auto"/>
        <w:jc w:val="center"/>
        <w:rPr>
          <w:rFonts w:ascii="Arial" w:hAnsi="Arial" w:cs="Arial"/>
          <w:b/>
          <w:bCs/>
          <w:sz w:val="24"/>
          <w:szCs w:val="24"/>
          <w:lang w:val="es-ES"/>
        </w:rPr>
      </w:pPr>
      <w:r w:rsidRPr="004B3AC1">
        <w:rPr>
          <w:rFonts w:ascii="Arial" w:hAnsi="Arial" w:cs="Arial"/>
          <w:b/>
          <w:bCs/>
          <w:sz w:val="24"/>
          <w:szCs w:val="24"/>
          <w:lang w:val="es-ES"/>
        </w:rPr>
        <w:t xml:space="preserve">Iniciativa para expedir la Ley de Ingresos </w:t>
      </w:r>
      <w:r w:rsidR="005F4AA0" w:rsidRPr="004B3AC1">
        <w:rPr>
          <w:rFonts w:ascii="Arial" w:hAnsi="Arial" w:cs="Arial"/>
          <w:b/>
          <w:sz w:val="24"/>
          <w:szCs w:val="24"/>
        </w:rPr>
        <w:t xml:space="preserve">del Estado de Yucatán </w:t>
      </w:r>
      <w:r w:rsidRPr="004B3AC1">
        <w:rPr>
          <w:rFonts w:ascii="Arial" w:hAnsi="Arial" w:cs="Arial"/>
          <w:b/>
          <w:bCs/>
          <w:sz w:val="24"/>
          <w:szCs w:val="24"/>
          <w:lang w:val="es-ES"/>
        </w:rPr>
        <w:t>para el Ejercicio Fiscal 2020</w:t>
      </w:r>
    </w:p>
    <w:p w:rsidR="00D95378" w:rsidRPr="004B3AC1" w:rsidRDefault="00D95378" w:rsidP="00937932">
      <w:pPr>
        <w:spacing w:before="100" w:beforeAutospacing="1" w:after="100" w:afterAutospacing="1" w:line="240" w:lineRule="auto"/>
        <w:jc w:val="center"/>
        <w:rPr>
          <w:rFonts w:ascii="Arial" w:hAnsi="Arial" w:cs="Arial"/>
          <w:b/>
          <w:bCs/>
          <w:sz w:val="24"/>
          <w:szCs w:val="24"/>
          <w:lang w:val="es-ES"/>
        </w:rPr>
      </w:pPr>
      <w:r w:rsidRPr="004B3AC1">
        <w:rPr>
          <w:rFonts w:ascii="Arial" w:hAnsi="Arial" w:cs="Arial"/>
          <w:b/>
          <w:bCs/>
          <w:sz w:val="24"/>
          <w:szCs w:val="24"/>
          <w:lang w:val="es-ES"/>
        </w:rPr>
        <w:t>Exposición de motivos</w:t>
      </w:r>
    </w:p>
    <w:p w:rsidR="00D95378" w:rsidRPr="004B3AC1" w:rsidRDefault="00D95378"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iniciativa para expedir la Ley de Ingresos del Estado de Yucatán tiene por objeto establecer los recursos que el Estado, a través de los diferentes rubros</w:t>
      </w:r>
      <w:r w:rsidR="00244C81" w:rsidRPr="004B3AC1">
        <w:rPr>
          <w:rFonts w:ascii="Arial" w:hAnsi="Arial" w:cs="Arial"/>
          <w:sz w:val="24"/>
          <w:szCs w:val="24"/>
        </w:rPr>
        <w:t>,</w:t>
      </w:r>
      <w:r w:rsidRPr="004B3AC1">
        <w:rPr>
          <w:rFonts w:ascii="Arial" w:hAnsi="Arial" w:cs="Arial"/>
          <w:sz w:val="24"/>
          <w:szCs w:val="24"/>
        </w:rPr>
        <w:t xml:space="preserve"> tiene la expectativa de percibir para el ejercicio fiscal </w:t>
      </w:r>
      <w:r w:rsidR="007979DA" w:rsidRPr="004B3AC1">
        <w:rPr>
          <w:rFonts w:ascii="Arial" w:hAnsi="Arial" w:cs="Arial"/>
          <w:sz w:val="24"/>
          <w:szCs w:val="24"/>
        </w:rPr>
        <w:t>2020</w:t>
      </w:r>
      <w:r w:rsidRPr="004B3AC1">
        <w:rPr>
          <w:rFonts w:ascii="Arial" w:hAnsi="Arial" w:cs="Arial"/>
          <w:sz w:val="24"/>
          <w:szCs w:val="24"/>
        </w:rPr>
        <w:t xml:space="preserve">. La determinación de los ingresos permitirá crear un balance presupuestario </w:t>
      </w:r>
      <w:r w:rsidR="007979DA" w:rsidRPr="004B3AC1">
        <w:rPr>
          <w:rFonts w:ascii="Arial" w:hAnsi="Arial" w:cs="Arial"/>
          <w:sz w:val="24"/>
          <w:szCs w:val="24"/>
        </w:rPr>
        <w:t>entre los ingresos y los egresos previstos</w:t>
      </w:r>
      <w:r w:rsidRPr="004B3AC1">
        <w:rPr>
          <w:rFonts w:ascii="Arial" w:hAnsi="Arial" w:cs="Arial"/>
          <w:sz w:val="24"/>
          <w:szCs w:val="24"/>
        </w:rPr>
        <w:t xml:space="preserve"> en el Presupuesto de Egresos del Gobierno del Estado de Yucatán para el Ejercicio Fiscal </w:t>
      </w:r>
      <w:r w:rsidR="007979DA" w:rsidRPr="004B3AC1">
        <w:rPr>
          <w:rFonts w:ascii="Arial" w:hAnsi="Arial" w:cs="Arial"/>
          <w:sz w:val="24"/>
          <w:szCs w:val="24"/>
        </w:rPr>
        <w:t>2020</w:t>
      </w:r>
      <w:r w:rsidRPr="004B3AC1">
        <w:rPr>
          <w:rFonts w:ascii="Arial" w:hAnsi="Arial" w:cs="Arial"/>
          <w:sz w:val="24"/>
          <w:szCs w:val="24"/>
        </w:rPr>
        <w:t>.</w:t>
      </w:r>
    </w:p>
    <w:p w:rsidR="00D95378" w:rsidRPr="004B3AC1" w:rsidRDefault="00D95378"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En este sentido, el proyecto de iniciativa que se somete a </w:t>
      </w:r>
      <w:r w:rsidR="007979DA" w:rsidRPr="004B3AC1">
        <w:rPr>
          <w:rFonts w:ascii="Arial" w:hAnsi="Arial" w:cs="Arial"/>
          <w:sz w:val="24"/>
          <w:szCs w:val="24"/>
        </w:rPr>
        <w:t>consideración</w:t>
      </w:r>
      <w:r w:rsidRPr="004B3AC1">
        <w:rPr>
          <w:rFonts w:ascii="Arial" w:hAnsi="Arial" w:cs="Arial"/>
          <w:sz w:val="24"/>
          <w:szCs w:val="24"/>
        </w:rPr>
        <w:t xml:space="preserve"> constituye el instrumento jurídico que, en coordinación con las leyes tributarias federales y locales</w:t>
      </w:r>
      <w:r w:rsidR="00244C81" w:rsidRPr="004B3AC1">
        <w:rPr>
          <w:rFonts w:ascii="Arial" w:hAnsi="Arial" w:cs="Arial"/>
          <w:sz w:val="24"/>
          <w:szCs w:val="24"/>
        </w:rPr>
        <w:t>,</w:t>
      </w:r>
      <w:r w:rsidRPr="004B3AC1">
        <w:rPr>
          <w:rFonts w:ascii="Arial" w:hAnsi="Arial" w:cs="Arial"/>
          <w:sz w:val="24"/>
          <w:szCs w:val="24"/>
        </w:rPr>
        <w:t xml:space="preserve"> establece la forma en la que el </w:t>
      </w:r>
      <w:r w:rsidR="0011146E" w:rsidRPr="004B3AC1">
        <w:rPr>
          <w:rFonts w:ascii="Arial" w:hAnsi="Arial" w:cs="Arial"/>
          <w:sz w:val="24"/>
          <w:szCs w:val="24"/>
        </w:rPr>
        <w:t>E</w:t>
      </w:r>
      <w:r w:rsidRPr="004B3AC1">
        <w:rPr>
          <w:rFonts w:ascii="Arial" w:hAnsi="Arial" w:cs="Arial"/>
          <w:sz w:val="24"/>
          <w:szCs w:val="24"/>
        </w:rPr>
        <w:t xml:space="preserve">stado percibirá ingresos públicos durante el año </w:t>
      </w:r>
      <w:r w:rsidR="007979DA" w:rsidRPr="004B3AC1">
        <w:rPr>
          <w:rFonts w:ascii="Arial" w:hAnsi="Arial" w:cs="Arial"/>
          <w:sz w:val="24"/>
          <w:szCs w:val="24"/>
        </w:rPr>
        <w:t>2020</w:t>
      </w:r>
      <w:r w:rsidRPr="004B3AC1">
        <w:rPr>
          <w:rFonts w:ascii="Arial" w:hAnsi="Arial" w:cs="Arial"/>
          <w:sz w:val="24"/>
          <w:szCs w:val="24"/>
        </w:rPr>
        <w:t>, para cumplir con sus funciones y garantizar el desarrollo económico y buen funcionamiento de este.</w:t>
      </w:r>
    </w:p>
    <w:p w:rsidR="00D95378" w:rsidRPr="004B3AC1" w:rsidRDefault="00D95378"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El proyecto de iniciativa está elaborado con base en lo establecido en la Ley General de Contabilidad Gubernamental, la Ley de Disciplina Financiera de las Entidades Federativas y los Municipios, la Ley del Presupuesto y Contabilidad Gubernamental del Estado de Yucatán, y la normativa emitida por el Consejo Nacional de Armonización Contable (en lo sucesivo CONAC). </w:t>
      </w:r>
    </w:p>
    <w:p w:rsidR="00D95378" w:rsidRPr="004B3AC1" w:rsidRDefault="00D95378"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Asimismo, para su elaboración, también se tomaron en consideración los Criterios Generales de Política Económica para la Iniciativa de Ley de Ingresos y el Proyecto de Presupuesto de Egresos de la Federación correspondientes al Ejercicio Fiscal </w:t>
      </w:r>
      <w:r w:rsidR="007979DA" w:rsidRPr="004B3AC1">
        <w:rPr>
          <w:rFonts w:ascii="Arial" w:hAnsi="Arial" w:cs="Arial"/>
          <w:sz w:val="24"/>
          <w:szCs w:val="24"/>
        </w:rPr>
        <w:t>2020</w:t>
      </w:r>
      <w:r w:rsidRPr="004B3AC1">
        <w:rPr>
          <w:rFonts w:ascii="Arial" w:hAnsi="Arial" w:cs="Arial"/>
          <w:sz w:val="24"/>
          <w:szCs w:val="24"/>
        </w:rPr>
        <w:t>, así como las proyecciones y los riesgos relevantes para las finanzas públicas.</w:t>
      </w:r>
    </w:p>
    <w:p w:rsidR="00EF57F7" w:rsidRPr="004B3AC1" w:rsidRDefault="00D95378" w:rsidP="00D512BB">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En este sentido los indicadores </w:t>
      </w:r>
      <w:r w:rsidR="007979DA" w:rsidRPr="004B3AC1">
        <w:rPr>
          <w:rFonts w:ascii="Arial" w:hAnsi="Arial" w:cs="Arial"/>
          <w:sz w:val="24"/>
          <w:szCs w:val="24"/>
        </w:rPr>
        <w:t>macro</w:t>
      </w:r>
      <w:r w:rsidRPr="004B3AC1">
        <w:rPr>
          <w:rFonts w:ascii="Arial" w:hAnsi="Arial" w:cs="Arial"/>
          <w:sz w:val="24"/>
          <w:szCs w:val="24"/>
        </w:rPr>
        <w:t xml:space="preserve">económicos considerados para realizar la Iniciativa de la Ley de Ingresos </w:t>
      </w:r>
      <w:r w:rsidR="005F4AA0" w:rsidRPr="004B3AC1">
        <w:rPr>
          <w:rFonts w:ascii="Arial" w:hAnsi="Arial" w:cs="Arial"/>
          <w:sz w:val="24"/>
          <w:szCs w:val="24"/>
        </w:rPr>
        <w:t xml:space="preserve">del Estado de Yucatán </w:t>
      </w:r>
      <w:r w:rsidRPr="004B3AC1">
        <w:rPr>
          <w:rFonts w:ascii="Arial" w:hAnsi="Arial" w:cs="Arial"/>
          <w:sz w:val="24"/>
          <w:szCs w:val="24"/>
        </w:rPr>
        <w:t>son los siguientes:</w:t>
      </w:r>
    </w:p>
    <w:p w:rsidR="007979DA" w:rsidRPr="004B3AC1" w:rsidRDefault="00937932" w:rsidP="00937932">
      <w:pPr>
        <w:spacing w:before="100" w:beforeAutospacing="1" w:after="100" w:afterAutospacing="1" w:line="240" w:lineRule="auto"/>
        <w:jc w:val="center"/>
        <w:textAlignment w:val="baseline"/>
        <w:rPr>
          <w:rFonts w:ascii="Arial" w:eastAsia="Times New Roman" w:hAnsi="Arial" w:cs="Arial"/>
          <w:b/>
          <w:bCs/>
          <w:sz w:val="24"/>
          <w:szCs w:val="24"/>
          <w:lang w:eastAsia="es-MX"/>
        </w:rPr>
      </w:pPr>
      <w:r w:rsidRPr="004B3AC1">
        <w:rPr>
          <w:rFonts w:ascii="Arial" w:eastAsia="Times New Roman" w:hAnsi="Arial" w:cs="Arial"/>
          <w:b/>
          <w:bCs/>
          <w:sz w:val="24"/>
          <w:szCs w:val="24"/>
          <w:lang w:eastAsia="es-MX"/>
        </w:rPr>
        <w:t xml:space="preserve">Tabla </w:t>
      </w:r>
      <w:r w:rsidR="007979DA" w:rsidRPr="004B3AC1">
        <w:rPr>
          <w:rFonts w:ascii="Arial" w:eastAsia="Times New Roman" w:hAnsi="Arial" w:cs="Arial"/>
          <w:b/>
          <w:bCs/>
          <w:sz w:val="24"/>
          <w:szCs w:val="24"/>
          <w:lang w:eastAsia="es-MX"/>
        </w:rPr>
        <w:t>1. Pronóstico de vari</w:t>
      </w:r>
      <w:r w:rsidRPr="004B3AC1">
        <w:rPr>
          <w:rFonts w:ascii="Arial" w:eastAsia="Times New Roman" w:hAnsi="Arial" w:cs="Arial"/>
          <w:b/>
          <w:bCs/>
          <w:sz w:val="24"/>
          <w:szCs w:val="24"/>
          <w:lang w:eastAsia="es-MX"/>
        </w:rPr>
        <w:t>ables macroeconómicas para 2020</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992"/>
        <w:gridCol w:w="1561"/>
        <w:gridCol w:w="1240"/>
        <w:gridCol w:w="659"/>
        <w:gridCol w:w="922"/>
        <w:gridCol w:w="1033"/>
      </w:tblGrid>
      <w:tr w:rsidR="00F34C7C" w:rsidRPr="004B3AC1" w:rsidTr="00034757">
        <w:trPr>
          <w:trHeight w:val="405"/>
        </w:trPr>
        <w:tc>
          <w:tcPr>
            <w:tcW w:w="2415"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Variables macroeconómicas</w:t>
            </w:r>
            <w:r w:rsidRPr="004B3AC1">
              <w:rPr>
                <w:rFonts w:ascii="Arial" w:hAnsi="Arial"/>
                <w:color w:val="595959"/>
                <w:sz w:val="20"/>
                <w:szCs w:val="18"/>
              </w:rPr>
              <w:t> </w:t>
            </w:r>
          </w:p>
        </w:tc>
        <w:tc>
          <w:tcPr>
            <w:tcW w:w="992"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SHCP a/</w:t>
            </w:r>
            <w:r w:rsidRPr="004B3AC1">
              <w:rPr>
                <w:rFonts w:ascii="Arial" w:hAnsi="Arial"/>
                <w:color w:val="595959"/>
                <w:sz w:val="20"/>
                <w:szCs w:val="18"/>
              </w:rPr>
              <w:t> </w:t>
            </w:r>
          </w:p>
        </w:tc>
        <w:tc>
          <w:tcPr>
            <w:tcW w:w="1561"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Especialistas d/</w:t>
            </w:r>
            <w:r w:rsidRPr="004B3AC1">
              <w:rPr>
                <w:rFonts w:ascii="Arial" w:hAnsi="Arial"/>
                <w:color w:val="595959"/>
                <w:sz w:val="20"/>
                <w:szCs w:val="18"/>
              </w:rPr>
              <w:t> </w:t>
            </w:r>
          </w:p>
        </w:tc>
        <w:tc>
          <w:tcPr>
            <w:tcW w:w="1240"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Banco de México b/</w:t>
            </w:r>
            <w:r w:rsidRPr="004B3AC1">
              <w:rPr>
                <w:rFonts w:ascii="Arial" w:hAnsi="Arial"/>
                <w:color w:val="595959"/>
                <w:sz w:val="20"/>
                <w:szCs w:val="18"/>
              </w:rPr>
              <w:t> </w:t>
            </w:r>
          </w:p>
        </w:tc>
        <w:tc>
          <w:tcPr>
            <w:tcW w:w="659"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FMI c/</w:t>
            </w:r>
            <w:r w:rsidRPr="004B3AC1">
              <w:rPr>
                <w:rFonts w:ascii="Arial" w:hAnsi="Arial"/>
                <w:color w:val="595959"/>
                <w:sz w:val="20"/>
                <w:szCs w:val="18"/>
              </w:rPr>
              <w:t> </w:t>
            </w:r>
          </w:p>
        </w:tc>
        <w:tc>
          <w:tcPr>
            <w:tcW w:w="922"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Promedio</w:t>
            </w:r>
            <w:r w:rsidRPr="004B3AC1">
              <w:rPr>
                <w:rFonts w:ascii="Arial" w:hAnsi="Arial"/>
                <w:color w:val="595959"/>
                <w:sz w:val="20"/>
                <w:szCs w:val="18"/>
              </w:rPr>
              <w:t> </w:t>
            </w:r>
          </w:p>
        </w:tc>
        <w:tc>
          <w:tcPr>
            <w:tcW w:w="1033" w:type="dxa"/>
            <w:shd w:val="clear" w:color="auto" w:fill="000000"/>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color w:val="595959"/>
                <w:sz w:val="20"/>
                <w:szCs w:val="18"/>
              </w:rPr>
            </w:pPr>
            <w:r w:rsidRPr="004B3AC1">
              <w:rPr>
                <w:rFonts w:ascii="Arial" w:hAnsi="Arial"/>
                <w:color w:val="FFFFFF"/>
                <w:sz w:val="20"/>
                <w:szCs w:val="18"/>
                <w:lang w:val="es-ES"/>
              </w:rPr>
              <w:t>Variación2</w:t>
            </w:r>
            <w:r w:rsidRPr="004B3AC1">
              <w:rPr>
                <w:rFonts w:ascii="Arial" w:hAnsi="Arial"/>
                <w:color w:val="595959"/>
                <w:sz w:val="20"/>
                <w:szCs w:val="18"/>
              </w:rPr>
              <w:t> </w:t>
            </w:r>
          </w:p>
        </w:tc>
      </w:tr>
      <w:tr w:rsidR="00F34C7C" w:rsidRPr="004B3AC1" w:rsidTr="00034757">
        <w:trPr>
          <w:trHeight w:val="225"/>
        </w:trPr>
        <w:tc>
          <w:tcPr>
            <w:tcW w:w="2415" w:type="dxa"/>
            <w:shd w:val="clear" w:color="auto" w:fill="auto"/>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sz w:val="20"/>
                <w:szCs w:val="18"/>
              </w:rPr>
            </w:pPr>
            <w:r w:rsidRPr="004B3AC1">
              <w:rPr>
                <w:rFonts w:ascii="Arial" w:hAnsi="Arial"/>
                <w:sz w:val="20"/>
                <w:szCs w:val="18"/>
                <w:lang w:val="es-ES"/>
              </w:rPr>
              <w:t xml:space="preserve">Producto Interno Bruto </w:t>
            </w:r>
            <w:r w:rsidRPr="004B3AC1">
              <w:rPr>
                <w:rFonts w:ascii="Arial" w:hAnsi="Arial"/>
                <w:sz w:val="20"/>
                <w:szCs w:val="18"/>
                <w:lang w:val="es-ES"/>
              </w:rPr>
              <w:lastRenderedPageBreak/>
              <w:t>Crecimiento % real (Rango)</w:t>
            </w:r>
            <w:r w:rsidRPr="004B3AC1">
              <w:rPr>
                <w:rFonts w:ascii="Arial" w:hAnsi="Arial"/>
                <w:sz w:val="20"/>
                <w:szCs w:val="18"/>
              </w:rPr>
              <w:t> </w:t>
            </w:r>
          </w:p>
        </w:tc>
        <w:tc>
          <w:tcPr>
            <w:tcW w:w="99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lastRenderedPageBreak/>
              <w:t>1.5 - 2.5</w:t>
            </w:r>
            <w:r w:rsidRPr="004B3AC1">
              <w:rPr>
                <w:rFonts w:ascii="Arial" w:hAnsi="Arial"/>
                <w:sz w:val="20"/>
                <w:szCs w:val="18"/>
              </w:rPr>
              <w:t> </w:t>
            </w:r>
          </w:p>
        </w:tc>
        <w:tc>
          <w:tcPr>
            <w:tcW w:w="1561"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1.21</w:t>
            </w:r>
            <w:r w:rsidRPr="004B3AC1">
              <w:rPr>
                <w:rFonts w:ascii="Arial" w:hAnsi="Arial"/>
                <w:sz w:val="20"/>
                <w:szCs w:val="18"/>
              </w:rPr>
              <w:t> </w:t>
            </w:r>
          </w:p>
        </w:tc>
        <w:tc>
          <w:tcPr>
            <w:tcW w:w="1240"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1.5-2.5</w:t>
            </w:r>
            <w:r w:rsidRPr="004B3AC1">
              <w:rPr>
                <w:rFonts w:ascii="Arial" w:hAnsi="Arial"/>
                <w:sz w:val="20"/>
                <w:szCs w:val="18"/>
              </w:rPr>
              <w:t> </w:t>
            </w:r>
          </w:p>
        </w:tc>
        <w:tc>
          <w:tcPr>
            <w:tcW w:w="659"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1.3</w:t>
            </w:r>
            <w:r w:rsidRPr="004B3AC1">
              <w:rPr>
                <w:rFonts w:ascii="Arial" w:hAnsi="Arial"/>
                <w:sz w:val="20"/>
                <w:szCs w:val="18"/>
              </w:rPr>
              <w:t> </w:t>
            </w:r>
          </w:p>
        </w:tc>
        <w:tc>
          <w:tcPr>
            <w:tcW w:w="92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1.6</w:t>
            </w:r>
            <w:r w:rsidRPr="004B3AC1">
              <w:rPr>
                <w:rFonts w:ascii="Arial" w:hAnsi="Arial"/>
                <w:sz w:val="20"/>
                <w:szCs w:val="18"/>
              </w:rPr>
              <w:t> </w:t>
            </w:r>
          </w:p>
        </w:tc>
        <w:tc>
          <w:tcPr>
            <w:tcW w:w="1033"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1.1</w:t>
            </w:r>
            <w:r w:rsidRPr="004B3AC1">
              <w:rPr>
                <w:rFonts w:ascii="Arial" w:hAnsi="Arial"/>
                <w:sz w:val="20"/>
                <w:szCs w:val="18"/>
              </w:rPr>
              <w:t> </w:t>
            </w:r>
          </w:p>
        </w:tc>
      </w:tr>
      <w:tr w:rsidR="00F34C7C" w:rsidRPr="004B3AC1" w:rsidTr="00034757">
        <w:trPr>
          <w:trHeight w:val="225"/>
        </w:trPr>
        <w:tc>
          <w:tcPr>
            <w:tcW w:w="2415" w:type="dxa"/>
            <w:shd w:val="clear" w:color="auto" w:fill="auto"/>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sz w:val="20"/>
                <w:szCs w:val="18"/>
              </w:rPr>
            </w:pPr>
            <w:r w:rsidRPr="004B3AC1">
              <w:rPr>
                <w:rFonts w:ascii="Arial" w:hAnsi="Arial"/>
                <w:sz w:val="20"/>
                <w:szCs w:val="18"/>
                <w:lang w:val="es-ES"/>
              </w:rPr>
              <w:lastRenderedPageBreak/>
              <w:t>Deflactor del PIB</w:t>
            </w:r>
          </w:p>
        </w:tc>
        <w:tc>
          <w:tcPr>
            <w:tcW w:w="99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3.6</w:t>
            </w:r>
            <w:r w:rsidRPr="004B3AC1">
              <w:rPr>
                <w:rFonts w:ascii="Arial" w:hAnsi="Arial"/>
                <w:sz w:val="20"/>
                <w:szCs w:val="18"/>
              </w:rPr>
              <w:t> </w:t>
            </w:r>
          </w:p>
        </w:tc>
        <w:tc>
          <w:tcPr>
            <w:tcW w:w="1561"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3.43</w:t>
            </w:r>
            <w:r w:rsidRPr="004B3AC1">
              <w:rPr>
                <w:rFonts w:ascii="Arial" w:hAnsi="Arial"/>
                <w:sz w:val="20"/>
                <w:szCs w:val="18"/>
              </w:rPr>
              <w:t> </w:t>
            </w:r>
          </w:p>
        </w:tc>
        <w:tc>
          <w:tcPr>
            <w:tcW w:w="1240"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3</w:t>
            </w:r>
            <w:r w:rsidRPr="004B3AC1">
              <w:rPr>
                <w:rFonts w:ascii="Arial" w:hAnsi="Arial"/>
                <w:sz w:val="20"/>
                <w:szCs w:val="18"/>
              </w:rPr>
              <w:t> </w:t>
            </w:r>
          </w:p>
        </w:tc>
        <w:tc>
          <w:tcPr>
            <w:tcW w:w="659"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3.1</w:t>
            </w:r>
            <w:r w:rsidRPr="004B3AC1">
              <w:rPr>
                <w:rFonts w:ascii="Arial" w:hAnsi="Arial"/>
                <w:sz w:val="20"/>
                <w:szCs w:val="18"/>
              </w:rPr>
              <w:t> </w:t>
            </w:r>
          </w:p>
        </w:tc>
        <w:tc>
          <w:tcPr>
            <w:tcW w:w="92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3.3</w:t>
            </w:r>
            <w:r w:rsidRPr="004B3AC1">
              <w:rPr>
                <w:rFonts w:ascii="Arial" w:hAnsi="Arial"/>
                <w:sz w:val="20"/>
                <w:szCs w:val="18"/>
              </w:rPr>
              <w:t> </w:t>
            </w:r>
          </w:p>
        </w:tc>
        <w:tc>
          <w:tcPr>
            <w:tcW w:w="1033"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-0.3</w:t>
            </w:r>
            <w:r w:rsidRPr="004B3AC1">
              <w:rPr>
                <w:rFonts w:ascii="Arial" w:hAnsi="Arial"/>
                <w:sz w:val="20"/>
                <w:szCs w:val="18"/>
              </w:rPr>
              <w:t> </w:t>
            </w:r>
          </w:p>
        </w:tc>
      </w:tr>
      <w:tr w:rsidR="00F34C7C" w:rsidRPr="004B3AC1" w:rsidTr="00034757">
        <w:trPr>
          <w:trHeight w:val="225"/>
        </w:trPr>
        <w:tc>
          <w:tcPr>
            <w:tcW w:w="2415" w:type="dxa"/>
            <w:shd w:val="clear" w:color="auto" w:fill="auto"/>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sz w:val="20"/>
                <w:szCs w:val="18"/>
              </w:rPr>
            </w:pPr>
            <w:r w:rsidRPr="004B3AC1">
              <w:rPr>
                <w:rFonts w:ascii="Arial" w:hAnsi="Arial"/>
                <w:sz w:val="20"/>
                <w:szCs w:val="18"/>
                <w:lang w:val="es-ES"/>
              </w:rPr>
              <w:t>Tipo de cambio nominal (pesos por dólar) promedio</w:t>
            </w:r>
            <w:r w:rsidRPr="004B3AC1">
              <w:rPr>
                <w:rFonts w:ascii="Arial" w:hAnsi="Arial"/>
                <w:sz w:val="20"/>
                <w:szCs w:val="18"/>
              </w:rPr>
              <w:t> </w:t>
            </w:r>
          </w:p>
        </w:tc>
        <w:tc>
          <w:tcPr>
            <w:tcW w:w="99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19.9</w:t>
            </w:r>
            <w:r w:rsidRPr="004B3AC1">
              <w:rPr>
                <w:rFonts w:ascii="Arial" w:hAnsi="Arial"/>
                <w:sz w:val="20"/>
                <w:szCs w:val="18"/>
              </w:rPr>
              <w:t> </w:t>
            </w:r>
          </w:p>
        </w:tc>
        <w:tc>
          <w:tcPr>
            <w:tcW w:w="1561"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20.17</w:t>
            </w:r>
            <w:r w:rsidRPr="004B3AC1">
              <w:rPr>
                <w:rFonts w:ascii="Arial" w:hAnsi="Arial"/>
                <w:sz w:val="20"/>
                <w:szCs w:val="18"/>
              </w:rPr>
              <w:t> </w:t>
            </w:r>
          </w:p>
        </w:tc>
        <w:tc>
          <w:tcPr>
            <w:tcW w:w="1240"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19.9</w:t>
            </w:r>
            <w:r w:rsidRPr="004B3AC1">
              <w:rPr>
                <w:rFonts w:ascii="Arial" w:hAnsi="Arial"/>
                <w:sz w:val="20"/>
                <w:szCs w:val="18"/>
              </w:rPr>
              <w:t> </w:t>
            </w:r>
          </w:p>
        </w:tc>
        <w:tc>
          <w:tcPr>
            <w:tcW w:w="659"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N/D</w:t>
            </w:r>
            <w:r w:rsidRPr="004B3AC1">
              <w:rPr>
                <w:rFonts w:ascii="Arial" w:hAnsi="Arial"/>
                <w:sz w:val="20"/>
                <w:szCs w:val="18"/>
              </w:rPr>
              <w:t> </w:t>
            </w:r>
          </w:p>
        </w:tc>
        <w:tc>
          <w:tcPr>
            <w:tcW w:w="92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20.0</w:t>
            </w:r>
            <w:r w:rsidRPr="004B3AC1">
              <w:rPr>
                <w:rFonts w:ascii="Arial" w:hAnsi="Arial"/>
                <w:sz w:val="20"/>
                <w:szCs w:val="18"/>
              </w:rPr>
              <w:t> </w:t>
            </w:r>
          </w:p>
        </w:tc>
        <w:tc>
          <w:tcPr>
            <w:tcW w:w="1033"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0.5</w:t>
            </w:r>
            <w:r w:rsidRPr="004B3AC1">
              <w:rPr>
                <w:rFonts w:ascii="Arial" w:hAnsi="Arial"/>
                <w:sz w:val="20"/>
                <w:szCs w:val="18"/>
              </w:rPr>
              <w:t> </w:t>
            </w:r>
          </w:p>
        </w:tc>
      </w:tr>
      <w:tr w:rsidR="00F34C7C" w:rsidRPr="004B3AC1" w:rsidTr="00034757">
        <w:trPr>
          <w:trHeight w:val="225"/>
        </w:trPr>
        <w:tc>
          <w:tcPr>
            <w:tcW w:w="2415" w:type="dxa"/>
            <w:shd w:val="clear" w:color="auto" w:fill="auto"/>
            <w:vAlign w:val="center"/>
            <w:hideMark/>
          </w:tcPr>
          <w:p w:rsidR="007979DA" w:rsidRPr="004B3AC1" w:rsidRDefault="007979DA" w:rsidP="00937932">
            <w:pPr>
              <w:spacing w:before="100" w:beforeAutospacing="1" w:after="100" w:afterAutospacing="1" w:line="240" w:lineRule="auto"/>
              <w:jc w:val="both"/>
              <w:textAlignment w:val="baseline"/>
              <w:rPr>
                <w:rFonts w:ascii="Arial" w:hAnsi="Arial"/>
                <w:sz w:val="20"/>
                <w:szCs w:val="18"/>
              </w:rPr>
            </w:pPr>
            <w:r w:rsidRPr="004B3AC1">
              <w:rPr>
                <w:rFonts w:ascii="Arial" w:hAnsi="Arial"/>
                <w:sz w:val="20"/>
                <w:szCs w:val="18"/>
                <w:lang w:val="es-ES"/>
              </w:rPr>
              <w:t>Cuenta corriente</w:t>
            </w:r>
          </w:p>
        </w:tc>
        <w:tc>
          <w:tcPr>
            <w:tcW w:w="99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-1.8</w:t>
            </w:r>
            <w:r w:rsidRPr="004B3AC1">
              <w:rPr>
                <w:rFonts w:ascii="Arial" w:hAnsi="Arial"/>
                <w:sz w:val="20"/>
                <w:szCs w:val="18"/>
              </w:rPr>
              <w:t> </w:t>
            </w:r>
          </w:p>
        </w:tc>
        <w:tc>
          <w:tcPr>
            <w:tcW w:w="1561"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-1.6</w:t>
            </w:r>
            <w:r w:rsidRPr="004B3AC1">
              <w:rPr>
                <w:rFonts w:ascii="Arial" w:hAnsi="Arial"/>
                <w:sz w:val="20"/>
                <w:szCs w:val="18"/>
              </w:rPr>
              <w:t> </w:t>
            </w:r>
          </w:p>
        </w:tc>
        <w:tc>
          <w:tcPr>
            <w:tcW w:w="1240"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-1.6</w:t>
            </w:r>
            <w:r w:rsidRPr="004B3AC1">
              <w:rPr>
                <w:rFonts w:ascii="Arial" w:hAnsi="Arial"/>
                <w:sz w:val="20"/>
                <w:szCs w:val="18"/>
              </w:rPr>
              <w:t> </w:t>
            </w:r>
          </w:p>
        </w:tc>
        <w:tc>
          <w:tcPr>
            <w:tcW w:w="659"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-1.6</w:t>
            </w:r>
            <w:r w:rsidRPr="004B3AC1">
              <w:rPr>
                <w:rFonts w:ascii="Arial" w:hAnsi="Arial"/>
                <w:sz w:val="20"/>
                <w:szCs w:val="18"/>
              </w:rPr>
              <w:t> </w:t>
            </w:r>
          </w:p>
        </w:tc>
        <w:tc>
          <w:tcPr>
            <w:tcW w:w="922"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-1.7</w:t>
            </w:r>
            <w:r w:rsidRPr="004B3AC1">
              <w:rPr>
                <w:rFonts w:ascii="Arial" w:hAnsi="Arial"/>
                <w:sz w:val="20"/>
                <w:szCs w:val="18"/>
              </w:rPr>
              <w:t> </w:t>
            </w:r>
          </w:p>
        </w:tc>
        <w:tc>
          <w:tcPr>
            <w:tcW w:w="1033" w:type="dxa"/>
            <w:shd w:val="clear" w:color="auto" w:fill="auto"/>
            <w:vAlign w:val="center"/>
            <w:hideMark/>
          </w:tcPr>
          <w:p w:rsidR="007979DA" w:rsidRPr="004B3AC1" w:rsidRDefault="007979DA" w:rsidP="00937932">
            <w:pPr>
              <w:spacing w:before="100" w:beforeAutospacing="1" w:after="100" w:afterAutospacing="1" w:line="240" w:lineRule="auto"/>
              <w:jc w:val="right"/>
              <w:textAlignment w:val="baseline"/>
              <w:rPr>
                <w:rFonts w:ascii="Arial" w:hAnsi="Arial"/>
                <w:sz w:val="20"/>
                <w:szCs w:val="18"/>
              </w:rPr>
            </w:pPr>
            <w:r w:rsidRPr="004B3AC1">
              <w:rPr>
                <w:rFonts w:ascii="Arial" w:hAnsi="Arial"/>
                <w:sz w:val="20"/>
                <w:szCs w:val="18"/>
                <w:lang w:val="es-ES"/>
              </w:rPr>
              <w:t>-0.3</w:t>
            </w:r>
            <w:r w:rsidRPr="004B3AC1">
              <w:rPr>
                <w:rFonts w:ascii="Arial" w:hAnsi="Arial"/>
                <w:sz w:val="20"/>
                <w:szCs w:val="18"/>
              </w:rPr>
              <w:t> </w:t>
            </w:r>
          </w:p>
        </w:tc>
      </w:tr>
    </w:tbl>
    <w:p w:rsidR="000D51F2" w:rsidRPr="004B3AC1" w:rsidRDefault="000D51F2" w:rsidP="000D51F2">
      <w:pPr>
        <w:pStyle w:val="paragraph"/>
        <w:spacing w:before="0" w:beforeAutospacing="0" w:after="0" w:afterAutospacing="0"/>
        <w:jc w:val="both"/>
        <w:textAlignment w:val="baseline"/>
        <w:rPr>
          <w:rStyle w:val="normaltextrun"/>
          <w:rFonts w:ascii="Arial" w:hAnsi="Arial"/>
          <w:i/>
          <w:color w:val="404040"/>
        </w:rPr>
      </w:pPr>
    </w:p>
    <w:p w:rsidR="00D512BB" w:rsidRPr="004B3AC1" w:rsidRDefault="00D512BB" w:rsidP="000D51F2">
      <w:pPr>
        <w:pStyle w:val="paragraph"/>
        <w:spacing w:before="0" w:beforeAutospacing="0" w:after="0" w:afterAutospacing="0"/>
        <w:jc w:val="both"/>
        <w:textAlignment w:val="baseline"/>
        <w:rPr>
          <w:rStyle w:val="normaltextrun"/>
          <w:rFonts w:ascii="Arial" w:hAnsi="Arial"/>
          <w:i/>
          <w:color w:val="404040"/>
          <w:sz w:val="20"/>
          <w:szCs w:val="20"/>
        </w:rPr>
      </w:pP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rPr>
      </w:pPr>
      <w:r w:rsidRPr="004B3AC1">
        <w:rPr>
          <w:rStyle w:val="normaltextrun"/>
          <w:rFonts w:ascii="Arial" w:hAnsi="Arial"/>
          <w:i/>
          <w:color w:val="404040"/>
          <w:sz w:val="20"/>
          <w:szCs w:val="20"/>
        </w:rPr>
        <w:t>a/ Marco Macroeconómico “Criterios 2020”, SHCP</w:t>
      </w:r>
      <w:r w:rsidRPr="004B3AC1">
        <w:rPr>
          <w:rStyle w:val="eop"/>
          <w:rFonts w:ascii="Arial" w:hAnsi="Arial"/>
          <w:i/>
          <w:color w:val="404040"/>
          <w:sz w:val="20"/>
          <w:szCs w:val="20"/>
        </w:rPr>
        <w:t> </w:t>
      </w: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rPr>
      </w:pPr>
      <w:r w:rsidRPr="004B3AC1">
        <w:rPr>
          <w:rStyle w:val="spellingerror"/>
          <w:rFonts w:ascii="Arial" w:hAnsi="Arial"/>
          <w:i/>
          <w:color w:val="404040"/>
          <w:sz w:val="20"/>
          <w:szCs w:val="20"/>
        </w:rPr>
        <w:t>b/</w:t>
      </w:r>
      <w:r w:rsidRPr="004B3AC1">
        <w:rPr>
          <w:rStyle w:val="normaltextrun"/>
          <w:rFonts w:ascii="Arial" w:hAnsi="Arial"/>
          <w:i/>
          <w:color w:val="404040"/>
          <w:sz w:val="20"/>
          <w:szCs w:val="20"/>
        </w:rPr>
        <w:t> Informe Trimestral (abril-junio 2019) del Banco de México</w:t>
      </w:r>
      <w:r w:rsidRPr="004B3AC1">
        <w:rPr>
          <w:rStyle w:val="eop"/>
          <w:rFonts w:ascii="Arial" w:hAnsi="Arial"/>
          <w:i/>
          <w:color w:val="404040"/>
          <w:sz w:val="20"/>
          <w:szCs w:val="20"/>
        </w:rPr>
        <w:t> </w:t>
      </w: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lang w:val="en-US"/>
        </w:rPr>
      </w:pPr>
      <w:r w:rsidRPr="004B3AC1">
        <w:rPr>
          <w:rStyle w:val="normaltextrun"/>
          <w:rFonts w:ascii="Arial" w:hAnsi="Arial"/>
          <w:i/>
          <w:color w:val="404040"/>
          <w:sz w:val="20"/>
          <w:szCs w:val="20"/>
          <w:lang w:val="en-US"/>
        </w:rPr>
        <w:t>c/ World Economic Outlook (</w:t>
      </w:r>
      <w:r w:rsidRPr="004B3AC1">
        <w:rPr>
          <w:rStyle w:val="spellingerror"/>
          <w:rFonts w:ascii="Arial" w:hAnsi="Arial"/>
          <w:i/>
          <w:color w:val="404040"/>
          <w:sz w:val="20"/>
          <w:szCs w:val="20"/>
          <w:lang w:val="en-US"/>
        </w:rPr>
        <w:t>octubre</w:t>
      </w:r>
      <w:r w:rsidRPr="004B3AC1">
        <w:rPr>
          <w:rStyle w:val="normaltextrun"/>
          <w:rFonts w:ascii="Arial" w:hAnsi="Arial"/>
          <w:i/>
          <w:color w:val="404040"/>
          <w:sz w:val="20"/>
          <w:szCs w:val="20"/>
          <w:lang w:val="en-US"/>
        </w:rPr>
        <w:t>/19) FMI</w:t>
      </w:r>
      <w:r w:rsidRPr="004B3AC1">
        <w:rPr>
          <w:rStyle w:val="eop"/>
          <w:rFonts w:ascii="Arial" w:hAnsi="Arial"/>
          <w:i/>
          <w:color w:val="404040"/>
          <w:sz w:val="20"/>
          <w:szCs w:val="20"/>
          <w:lang w:val="en-US"/>
        </w:rPr>
        <w:t> </w:t>
      </w: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rPr>
      </w:pPr>
      <w:r w:rsidRPr="004B3AC1">
        <w:rPr>
          <w:rStyle w:val="normaltextrun"/>
          <w:rFonts w:ascii="Arial" w:hAnsi="Arial"/>
          <w:i/>
          <w:color w:val="404040"/>
          <w:sz w:val="20"/>
          <w:szCs w:val="20"/>
        </w:rPr>
        <w:t>d/ Encuesta de Especialistas en Economía del Sector Privado (Banxico, octubre/19)</w:t>
      </w:r>
      <w:r w:rsidRPr="004B3AC1">
        <w:rPr>
          <w:rStyle w:val="eop"/>
          <w:rFonts w:ascii="Arial" w:hAnsi="Arial"/>
          <w:i/>
          <w:color w:val="404040"/>
          <w:sz w:val="20"/>
          <w:szCs w:val="20"/>
        </w:rPr>
        <w:t> </w:t>
      </w: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rPr>
      </w:pPr>
      <w:r w:rsidRPr="004B3AC1">
        <w:rPr>
          <w:rStyle w:val="normaltextrun"/>
          <w:rFonts w:ascii="Arial" w:hAnsi="Arial"/>
          <w:i/>
          <w:color w:val="404040"/>
          <w:sz w:val="20"/>
          <w:szCs w:val="20"/>
        </w:rPr>
        <w:t>1 el promedio excluye las variables de la SHCP</w:t>
      </w:r>
      <w:r w:rsidRPr="004B3AC1">
        <w:rPr>
          <w:rStyle w:val="eop"/>
          <w:rFonts w:ascii="Arial" w:hAnsi="Arial"/>
          <w:i/>
          <w:color w:val="404040"/>
          <w:sz w:val="20"/>
          <w:szCs w:val="20"/>
        </w:rPr>
        <w:t> </w:t>
      </w: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rPr>
      </w:pPr>
      <w:r w:rsidRPr="004B3AC1">
        <w:rPr>
          <w:rStyle w:val="normaltextrun"/>
          <w:rFonts w:ascii="Arial" w:hAnsi="Arial"/>
          <w:i/>
          <w:color w:val="404040"/>
          <w:sz w:val="20"/>
          <w:szCs w:val="20"/>
        </w:rPr>
        <w:t>2 variación con respecto al año anterior</w:t>
      </w:r>
      <w:r w:rsidRPr="004B3AC1">
        <w:rPr>
          <w:rStyle w:val="eop"/>
          <w:rFonts w:ascii="Arial" w:hAnsi="Arial"/>
          <w:i/>
          <w:color w:val="404040"/>
          <w:sz w:val="20"/>
          <w:szCs w:val="20"/>
        </w:rPr>
        <w:t> </w:t>
      </w:r>
    </w:p>
    <w:p w:rsidR="007979DA" w:rsidRPr="004B3AC1" w:rsidRDefault="007979DA" w:rsidP="000D51F2">
      <w:pPr>
        <w:pStyle w:val="paragraph"/>
        <w:spacing w:before="0" w:beforeAutospacing="0" w:after="0" w:afterAutospacing="0"/>
        <w:jc w:val="both"/>
        <w:textAlignment w:val="baseline"/>
        <w:rPr>
          <w:rFonts w:ascii="Arial" w:hAnsi="Arial"/>
          <w:i/>
          <w:color w:val="404040"/>
          <w:sz w:val="20"/>
          <w:szCs w:val="20"/>
        </w:rPr>
      </w:pPr>
      <w:r w:rsidRPr="004B3AC1">
        <w:rPr>
          <w:rStyle w:val="normaltextrun"/>
          <w:rFonts w:ascii="Arial" w:hAnsi="Arial"/>
          <w:i/>
          <w:color w:val="404040"/>
          <w:sz w:val="20"/>
          <w:szCs w:val="20"/>
        </w:rPr>
        <w:t>Fuente: Elaborado por la </w:t>
      </w:r>
      <w:r w:rsidRPr="004B3AC1">
        <w:rPr>
          <w:rStyle w:val="spellingerror"/>
          <w:rFonts w:ascii="Arial" w:hAnsi="Arial"/>
          <w:i/>
          <w:color w:val="404040"/>
          <w:sz w:val="20"/>
          <w:szCs w:val="20"/>
        </w:rPr>
        <w:t>Seplan</w:t>
      </w:r>
      <w:r w:rsidRPr="004B3AC1">
        <w:rPr>
          <w:rStyle w:val="normaltextrun"/>
          <w:rFonts w:ascii="Arial" w:hAnsi="Arial"/>
          <w:i/>
          <w:color w:val="404040"/>
          <w:sz w:val="20"/>
          <w:szCs w:val="20"/>
        </w:rPr>
        <w:t> con datos a/b/c/d</w:t>
      </w:r>
    </w:p>
    <w:p w:rsidR="00C043B1" w:rsidRPr="004B3AC1" w:rsidRDefault="00C043B1" w:rsidP="00C043B1">
      <w:pPr>
        <w:spacing w:before="100" w:beforeAutospacing="1" w:after="100" w:afterAutospacing="1" w:line="240" w:lineRule="auto"/>
        <w:jc w:val="both"/>
        <w:rPr>
          <w:rFonts w:ascii="Arial" w:hAnsi="Arial" w:cs="Arial"/>
          <w:b/>
          <w:bCs/>
          <w:sz w:val="24"/>
          <w:szCs w:val="24"/>
          <w:lang w:val="es-ES"/>
        </w:rPr>
      </w:pPr>
      <w:r w:rsidRPr="004B3AC1">
        <w:rPr>
          <w:rFonts w:ascii="Arial" w:hAnsi="Arial" w:cs="Arial"/>
          <w:b/>
          <w:bCs/>
          <w:sz w:val="24"/>
          <w:szCs w:val="24"/>
          <w:lang w:val="es-ES"/>
        </w:rPr>
        <w:t>I. Contenido de la iniciativa de ley</w:t>
      </w:r>
    </w:p>
    <w:p w:rsidR="00C043B1" w:rsidRPr="004B3AC1" w:rsidRDefault="00C043B1" w:rsidP="00C043B1">
      <w:pPr>
        <w:spacing w:before="100" w:beforeAutospacing="1" w:after="100" w:afterAutospacing="1" w:line="240" w:lineRule="auto"/>
        <w:jc w:val="both"/>
        <w:rPr>
          <w:rFonts w:ascii="Arial" w:hAnsi="Arial" w:cs="Arial"/>
          <w:sz w:val="24"/>
          <w:szCs w:val="24"/>
          <w:lang w:val="es-ES"/>
        </w:rPr>
      </w:pPr>
      <w:r w:rsidRPr="004B3AC1">
        <w:rPr>
          <w:rFonts w:ascii="Arial" w:hAnsi="Arial" w:cs="Arial"/>
          <w:sz w:val="24"/>
          <w:szCs w:val="24"/>
          <w:lang w:val="es-ES"/>
        </w:rPr>
        <w:t xml:space="preserve">Esta iniciativa se conforma por treinta artículos divididos en cuatro capítulos. El capítulo I denominado “Ingresos” es el más relevante del documento y establece la estimación de los ingresos, que el Gobierno del estado en todos sus ámbitos considera obtener para el ejercicio fiscal 2020. El capítulo II denominado “Recaudación y concentración de ingresos”, refiere a la manera </w:t>
      </w:r>
      <w:r w:rsidR="00E21067" w:rsidRPr="004B3AC1">
        <w:rPr>
          <w:rFonts w:ascii="Arial" w:hAnsi="Arial" w:cs="Arial"/>
          <w:sz w:val="24"/>
          <w:szCs w:val="24"/>
          <w:lang w:val="es-ES"/>
        </w:rPr>
        <w:t>en que se hará la recaudación y</w:t>
      </w:r>
      <w:r w:rsidRPr="004B3AC1">
        <w:rPr>
          <w:rFonts w:ascii="Arial" w:hAnsi="Arial" w:cs="Arial"/>
          <w:sz w:val="24"/>
          <w:szCs w:val="24"/>
          <w:lang w:val="es-ES"/>
        </w:rPr>
        <w:t xml:space="preserve"> cómo se concentrarán los recursos públicos del estado por diversos rubros. El capítulo III, denominado “Sujetos públicos obligados”, únicamente contiene un artículo que refiere a los sujetos públicos obligados al pago de contribuciones. El capítulo IV, denominado “Facilidades a los contribuyentes”, señala las herramientas y los mecanismos encaminados a facilitar el correcto y responsable cumplimiento de las obligaciones tributarias. Finalmente, se incluyen cinco artículos transitorios con disposiciones que permitirán una efectiva entrada en vigor y aplicación de la ley.</w:t>
      </w:r>
    </w:p>
    <w:p w:rsidR="00C043B1" w:rsidRPr="004B3AC1" w:rsidRDefault="00C043B1" w:rsidP="00937932">
      <w:pPr>
        <w:spacing w:before="100" w:beforeAutospacing="1" w:after="100" w:afterAutospacing="1" w:line="240" w:lineRule="auto"/>
        <w:jc w:val="both"/>
        <w:rPr>
          <w:rFonts w:ascii="Arial" w:hAnsi="Arial" w:cs="Arial"/>
          <w:sz w:val="24"/>
          <w:szCs w:val="24"/>
          <w:lang w:val="es-ES"/>
        </w:rPr>
      </w:pPr>
      <w:r w:rsidRPr="004B3AC1">
        <w:rPr>
          <w:rFonts w:ascii="Arial" w:hAnsi="Arial"/>
          <w:sz w:val="24"/>
          <w:lang w:val="es-ES"/>
        </w:rPr>
        <w:t>Por otra parte</w:t>
      </w:r>
      <w:r w:rsidRPr="004B3AC1">
        <w:rPr>
          <w:rFonts w:ascii="Arial" w:hAnsi="Arial" w:cs="Arial"/>
          <w:sz w:val="24"/>
          <w:szCs w:val="24"/>
          <w:lang w:val="es-ES"/>
        </w:rPr>
        <w:t>, el artículo 2, que contiene la tabla de clasificación por rubro de ingresos establecido por la CONAC se desglosa como mínimo a un tercer nivel para un mayor detalle del origen de los recursos y a su vez una determinación más clara en caso de ingresos excedentes.</w:t>
      </w:r>
    </w:p>
    <w:p w:rsidR="002C3062" w:rsidRPr="004B3AC1" w:rsidRDefault="00C043B1" w:rsidP="00937932">
      <w:pPr>
        <w:spacing w:before="100" w:beforeAutospacing="1" w:after="100" w:afterAutospacing="1" w:line="240" w:lineRule="auto"/>
        <w:jc w:val="both"/>
        <w:rPr>
          <w:rFonts w:ascii="Arial" w:hAnsi="Arial" w:cs="Arial"/>
          <w:sz w:val="24"/>
          <w:szCs w:val="24"/>
          <w:lang w:val="es-ES"/>
        </w:rPr>
      </w:pPr>
      <w:r w:rsidRPr="004B3AC1">
        <w:rPr>
          <w:rFonts w:ascii="Arial" w:hAnsi="Arial" w:cs="Arial"/>
          <w:b/>
          <w:sz w:val="24"/>
          <w:szCs w:val="24"/>
          <w:lang w:val="es-ES"/>
        </w:rPr>
        <w:t>II.</w:t>
      </w:r>
      <w:r w:rsidR="002C3062" w:rsidRPr="004B3AC1">
        <w:rPr>
          <w:rFonts w:ascii="Arial" w:hAnsi="Arial" w:cs="Arial"/>
          <w:b/>
          <w:bCs/>
          <w:sz w:val="24"/>
          <w:szCs w:val="24"/>
        </w:rPr>
        <w:t xml:space="preserve"> Objetivo anuales, estrategias y metas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Con la publicación del Plan </w:t>
      </w:r>
      <w:r w:rsidR="00244C81" w:rsidRPr="004B3AC1">
        <w:rPr>
          <w:rFonts w:ascii="Arial" w:hAnsi="Arial" w:cs="Arial"/>
          <w:sz w:val="24"/>
          <w:szCs w:val="24"/>
        </w:rPr>
        <w:t xml:space="preserve">Estatal de Desarrollo 2018-2024 </w:t>
      </w:r>
      <w:r w:rsidRPr="004B3AC1">
        <w:rPr>
          <w:rFonts w:ascii="Arial" w:hAnsi="Arial" w:cs="Arial"/>
          <w:sz w:val="24"/>
          <w:szCs w:val="24"/>
        </w:rPr>
        <w:t>el 30 de marzo d</w:t>
      </w:r>
      <w:r w:rsidR="00600C1D" w:rsidRPr="004B3AC1">
        <w:rPr>
          <w:rFonts w:ascii="Arial" w:hAnsi="Arial" w:cs="Arial"/>
          <w:sz w:val="24"/>
          <w:szCs w:val="24"/>
        </w:rPr>
        <w:t>e 2019 en el Diario Oficial del G</w:t>
      </w:r>
      <w:r w:rsidR="009B367B" w:rsidRPr="004B3AC1">
        <w:rPr>
          <w:rFonts w:ascii="Arial" w:hAnsi="Arial" w:cs="Arial"/>
          <w:sz w:val="24"/>
          <w:szCs w:val="24"/>
        </w:rPr>
        <w:t xml:space="preserve">obierno del </w:t>
      </w:r>
      <w:r w:rsidRPr="004B3AC1">
        <w:rPr>
          <w:rFonts w:ascii="Arial" w:hAnsi="Arial" w:cs="Arial"/>
          <w:sz w:val="24"/>
          <w:szCs w:val="24"/>
        </w:rPr>
        <w:t xml:space="preserve">Estado de Yucatán, los ingresos del Estado se direccionan al cumplimiento de los cuatro ejes rectores y cinco ejes transversales del </w:t>
      </w:r>
      <w:r w:rsidR="00AD2AFC" w:rsidRPr="004B3AC1">
        <w:rPr>
          <w:rFonts w:ascii="Arial" w:hAnsi="Arial" w:cs="Arial"/>
          <w:sz w:val="24"/>
          <w:szCs w:val="24"/>
        </w:rPr>
        <w:t>p</w:t>
      </w:r>
      <w:r w:rsidRPr="004B3AC1">
        <w:rPr>
          <w:rFonts w:ascii="Arial" w:hAnsi="Arial" w:cs="Arial"/>
          <w:sz w:val="24"/>
          <w:szCs w:val="24"/>
        </w:rPr>
        <w:t>lan.</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lastRenderedPageBreak/>
        <w:t xml:space="preserve">El Plan Estatal de Desarrollo incorpora los objetivos de desarrollo sostenible (ODS) que a su vez son parte de la Agenda 2030 para el Desarrollo Sostenible. Hay 17 ODS que incluyen 169 metas de carácter universal que abarcan las tres dimensiones del desarrollo sostenible: social, económica y ambiental. Cuestión que el Gobierno del </w:t>
      </w:r>
      <w:r w:rsidR="00600C1D" w:rsidRPr="004B3AC1">
        <w:rPr>
          <w:rFonts w:ascii="Arial" w:hAnsi="Arial" w:cs="Arial"/>
          <w:sz w:val="24"/>
          <w:szCs w:val="24"/>
        </w:rPr>
        <w:t>e</w:t>
      </w:r>
      <w:r w:rsidRPr="004B3AC1">
        <w:rPr>
          <w:rFonts w:ascii="Arial" w:hAnsi="Arial" w:cs="Arial"/>
          <w:sz w:val="24"/>
          <w:szCs w:val="24"/>
        </w:rPr>
        <w:t>stado quiere reforzar como parte de los Derechos Económicos, Sociales, Culturales y Ambientales (Desca).</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Los cuatro ejes rectores del Plan Estatal de Desarrollo 2018-2024 son</w:t>
      </w:r>
      <w:r w:rsidR="00B61187" w:rsidRPr="004B3AC1">
        <w:rPr>
          <w:rFonts w:ascii="Arial" w:hAnsi="Arial" w:cs="Arial"/>
          <w:sz w:val="24"/>
          <w:szCs w:val="24"/>
        </w:rPr>
        <w:t xml:space="preserve"> los siguientes</w:t>
      </w:r>
      <w:r w:rsidRPr="004B3AC1">
        <w:rPr>
          <w:rFonts w:ascii="Arial" w:hAnsi="Arial" w:cs="Arial"/>
          <w:sz w:val="24"/>
          <w:szCs w:val="24"/>
        </w:rPr>
        <w:t>:</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
          <w:bCs/>
          <w:sz w:val="24"/>
          <w:szCs w:val="24"/>
        </w:rPr>
        <w:t>Yucatán con Economía Inclusiva</w:t>
      </w:r>
      <w:r w:rsidR="00B61187" w:rsidRPr="004B3AC1">
        <w:rPr>
          <w:rFonts w:ascii="Arial" w:hAnsi="Arial" w:cs="Arial"/>
          <w:sz w:val="24"/>
          <w:szCs w:val="24"/>
        </w:rPr>
        <w:t>:</w:t>
      </w:r>
      <w:r w:rsidR="009215B7" w:rsidRPr="004B3AC1">
        <w:rPr>
          <w:rFonts w:ascii="Arial" w:hAnsi="Arial" w:cs="Arial"/>
          <w:sz w:val="24"/>
          <w:szCs w:val="24"/>
        </w:rPr>
        <w:t xml:space="preserve"> </w:t>
      </w:r>
      <w:r w:rsidR="00B61187" w:rsidRPr="004B3AC1">
        <w:rPr>
          <w:rFonts w:ascii="Arial" w:hAnsi="Arial" w:cs="Arial"/>
          <w:sz w:val="24"/>
          <w:szCs w:val="24"/>
        </w:rPr>
        <w:t>b</w:t>
      </w:r>
      <w:r w:rsidRPr="004B3AC1">
        <w:rPr>
          <w:rFonts w:ascii="Arial" w:hAnsi="Arial" w:cs="Arial"/>
          <w:sz w:val="24"/>
          <w:szCs w:val="24"/>
        </w:rPr>
        <w:t xml:space="preserve">usca que las personas puedan desarrollarse económicamente en cualquier actividad estratégica del estado y al mismo tiempo impulsar el desarrollo económico de Yucatán. </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
          <w:bCs/>
          <w:sz w:val="24"/>
          <w:szCs w:val="24"/>
        </w:rPr>
        <w:t>Yucatán con Calidad de Vida y Bienestar Social</w:t>
      </w:r>
      <w:r w:rsidR="00B61187" w:rsidRPr="004B3AC1">
        <w:rPr>
          <w:rFonts w:ascii="Arial" w:hAnsi="Arial" w:cs="Arial"/>
          <w:sz w:val="24"/>
          <w:szCs w:val="24"/>
        </w:rPr>
        <w:t>: p</w:t>
      </w:r>
      <w:r w:rsidRPr="004B3AC1">
        <w:rPr>
          <w:rFonts w:ascii="Arial" w:hAnsi="Arial" w:cs="Arial"/>
          <w:sz w:val="24"/>
          <w:szCs w:val="24"/>
        </w:rPr>
        <w:t xml:space="preserve">rioriza la vida digna de la población del estado alcanzando la satisfacción de las necesidades básicas de los ciudadanos. </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
          <w:bCs/>
          <w:sz w:val="24"/>
          <w:szCs w:val="24"/>
        </w:rPr>
        <w:t>Yucatán Cultural con Identidad para el Desarrollo</w:t>
      </w:r>
      <w:r w:rsidR="00B61187" w:rsidRPr="004B3AC1">
        <w:rPr>
          <w:rFonts w:ascii="Arial" w:hAnsi="Arial" w:cs="Arial"/>
          <w:sz w:val="24"/>
          <w:szCs w:val="24"/>
        </w:rPr>
        <w:t>:</w:t>
      </w:r>
      <w:r w:rsidR="009215B7" w:rsidRPr="004B3AC1">
        <w:rPr>
          <w:rFonts w:ascii="Arial" w:hAnsi="Arial" w:cs="Arial"/>
          <w:sz w:val="24"/>
          <w:szCs w:val="24"/>
        </w:rPr>
        <w:t xml:space="preserve"> </w:t>
      </w:r>
      <w:r w:rsidR="00B61187" w:rsidRPr="004B3AC1">
        <w:rPr>
          <w:rFonts w:ascii="Arial" w:hAnsi="Arial" w:cs="Arial"/>
          <w:sz w:val="24"/>
          <w:szCs w:val="24"/>
        </w:rPr>
        <w:t>b</w:t>
      </w:r>
      <w:r w:rsidRPr="004B3AC1">
        <w:rPr>
          <w:rFonts w:ascii="Arial" w:hAnsi="Arial" w:cs="Arial"/>
          <w:sz w:val="24"/>
          <w:szCs w:val="24"/>
        </w:rPr>
        <w:t xml:space="preserve">usca garantizar que las personas y comunidades tengan acceso a la cultura para el disfrute de sus componentes en condiciones de igualdad, dignidad humana y no discriminación. </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
          <w:bCs/>
          <w:sz w:val="24"/>
          <w:szCs w:val="24"/>
        </w:rPr>
        <w:t>Yucatán Verde y Sustentable</w:t>
      </w:r>
      <w:r w:rsidR="00B61187" w:rsidRPr="004B3AC1">
        <w:rPr>
          <w:rFonts w:ascii="Arial" w:hAnsi="Arial" w:cs="Arial"/>
          <w:sz w:val="24"/>
          <w:szCs w:val="24"/>
        </w:rPr>
        <w:t>:</w:t>
      </w:r>
      <w:r w:rsidR="009215B7" w:rsidRPr="004B3AC1">
        <w:rPr>
          <w:rFonts w:ascii="Arial" w:hAnsi="Arial" w:cs="Arial"/>
          <w:sz w:val="24"/>
          <w:szCs w:val="24"/>
        </w:rPr>
        <w:t xml:space="preserve"> </w:t>
      </w:r>
      <w:r w:rsidR="00B61187" w:rsidRPr="004B3AC1">
        <w:rPr>
          <w:rFonts w:ascii="Arial" w:hAnsi="Arial" w:cs="Arial"/>
          <w:sz w:val="24"/>
          <w:szCs w:val="24"/>
        </w:rPr>
        <w:t>t</w:t>
      </w:r>
      <w:r w:rsidRPr="004B3AC1">
        <w:rPr>
          <w:rFonts w:ascii="Arial" w:hAnsi="Arial" w:cs="Arial"/>
          <w:sz w:val="24"/>
          <w:szCs w:val="24"/>
        </w:rPr>
        <w:t>iene como propósito la regulación de las actividades humanas respecto al uso, explotación y aprovechamiento de los recursos naturales para garantizar el goce colectivo a los bienes ambientales velando por su integridad natural y con ello promover el desarrollo económico sostenible.</w:t>
      </w:r>
    </w:p>
    <w:p w:rsidR="002C3062" w:rsidRPr="004B3AC1" w:rsidRDefault="002C3062" w:rsidP="00A71016">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Los cinco ejes transversales del Pla</w:t>
      </w:r>
      <w:r w:rsidR="00B61187" w:rsidRPr="004B3AC1">
        <w:rPr>
          <w:rFonts w:ascii="Arial" w:hAnsi="Arial" w:cs="Arial"/>
          <w:sz w:val="24"/>
          <w:szCs w:val="24"/>
        </w:rPr>
        <w:t>n Estatal de Desarrollo 2018-20</w:t>
      </w:r>
      <w:r w:rsidRPr="004B3AC1">
        <w:rPr>
          <w:rFonts w:ascii="Arial" w:hAnsi="Arial" w:cs="Arial"/>
          <w:sz w:val="24"/>
          <w:szCs w:val="24"/>
        </w:rPr>
        <w:t>24, están basados en cuatro ejes rectores asociados a los Desca. Los ejes transversales son</w:t>
      </w:r>
      <w:r w:rsidR="00B61187" w:rsidRPr="004B3AC1">
        <w:rPr>
          <w:rFonts w:ascii="Arial" w:hAnsi="Arial" w:cs="Arial"/>
          <w:sz w:val="24"/>
          <w:szCs w:val="24"/>
        </w:rPr>
        <w:t xml:space="preserve"> los siguientes</w:t>
      </w:r>
      <w:r w:rsidRPr="004B3AC1">
        <w:rPr>
          <w:rFonts w:ascii="Arial" w:hAnsi="Arial" w:cs="Arial"/>
          <w:sz w:val="24"/>
          <w:szCs w:val="24"/>
        </w:rPr>
        <w:t>:</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Cs/>
          <w:sz w:val="24"/>
          <w:szCs w:val="24"/>
        </w:rPr>
        <w:t>Igualdad de Género, Oportunidades y No Discriminación</w:t>
      </w:r>
      <w:r w:rsidR="00B61187" w:rsidRPr="004B3AC1">
        <w:rPr>
          <w:rFonts w:ascii="Arial" w:hAnsi="Arial" w:cs="Arial"/>
          <w:sz w:val="24"/>
          <w:szCs w:val="24"/>
        </w:rPr>
        <w:t>:</w:t>
      </w:r>
      <w:r w:rsidR="009215B7" w:rsidRPr="004B3AC1">
        <w:rPr>
          <w:rFonts w:ascii="Arial" w:hAnsi="Arial" w:cs="Arial"/>
          <w:sz w:val="24"/>
          <w:szCs w:val="24"/>
        </w:rPr>
        <w:t xml:space="preserve"> </w:t>
      </w:r>
      <w:r w:rsidR="00B61187" w:rsidRPr="004B3AC1">
        <w:rPr>
          <w:rFonts w:ascii="Arial" w:hAnsi="Arial" w:cs="Arial"/>
          <w:sz w:val="24"/>
          <w:szCs w:val="24"/>
        </w:rPr>
        <w:t>b</w:t>
      </w:r>
      <w:r w:rsidRPr="004B3AC1">
        <w:rPr>
          <w:rFonts w:ascii="Arial" w:hAnsi="Arial" w:cs="Arial"/>
          <w:sz w:val="24"/>
          <w:szCs w:val="24"/>
        </w:rPr>
        <w:t>usca el desarrollo igualitario en el bienestar de la población haciendo valer los derechos de los grupos</w:t>
      </w:r>
      <w:r w:rsidR="00E21067" w:rsidRPr="004B3AC1">
        <w:rPr>
          <w:rFonts w:ascii="Arial" w:hAnsi="Arial" w:cs="Arial"/>
          <w:sz w:val="24"/>
          <w:szCs w:val="24"/>
        </w:rPr>
        <w:t xml:space="preserve"> en situación de vulnerabilidad</w:t>
      </w:r>
      <w:r w:rsidRPr="004B3AC1">
        <w:rPr>
          <w:rFonts w:ascii="Arial" w:hAnsi="Arial" w:cs="Arial"/>
          <w:sz w:val="24"/>
          <w:szCs w:val="24"/>
        </w:rPr>
        <w:t xml:space="preserve"> para abatir las brechas existentes. </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Cs/>
          <w:sz w:val="24"/>
          <w:szCs w:val="24"/>
        </w:rPr>
        <w:t>Innovación, Conocimiento y Tecnología</w:t>
      </w:r>
      <w:r w:rsidR="00B61187" w:rsidRPr="004B3AC1">
        <w:rPr>
          <w:rFonts w:ascii="Arial" w:hAnsi="Arial" w:cs="Arial"/>
          <w:sz w:val="24"/>
          <w:szCs w:val="24"/>
        </w:rPr>
        <w:t>: p</w:t>
      </w:r>
      <w:r w:rsidRPr="004B3AC1">
        <w:rPr>
          <w:rFonts w:ascii="Arial" w:hAnsi="Arial" w:cs="Arial"/>
          <w:sz w:val="24"/>
          <w:szCs w:val="24"/>
        </w:rPr>
        <w:t xml:space="preserve">retende generar conocimiento en distintas áreas con el objetivo de impulsar los ejes sectoriales mediante el uso de la innovación y tecnología para mejorar la calidad de vida de las personas. </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Cs/>
          <w:sz w:val="24"/>
          <w:szCs w:val="24"/>
        </w:rPr>
        <w:t>Paz, Justicia y Gobernabilidad</w:t>
      </w:r>
      <w:r w:rsidR="00B61187" w:rsidRPr="004B3AC1">
        <w:rPr>
          <w:rFonts w:ascii="Arial" w:hAnsi="Arial" w:cs="Arial"/>
          <w:sz w:val="24"/>
          <w:szCs w:val="24"/>
        </w:rPr>
        <w:t>:</w:t>
      </w:r>
      <w:r w:rsidR="009215B7" w:rsidRPr="004B3AC1">
        <w:rPr>
          <w:rFonts w:ascii="Arial" w:hAnsi="Arial" w:cs="Arial"/>
          <w:sz w:val="24"/>
          <w:szCs w:val="24"/>
        </w:rPr>
        <w:t xml:space="preserve"> </w:t>
      </w:r>
      <w:r w:rsidR="00B61187" w:rsidRPr="004B3AC1">
        <w:rPr>
          <w:rFonts w:ascii="Arial" w:hAnsi="Arial" w:cs="Arial"/>
          <w:sz w:val="24"/>
          <w:szCs w:val="24"/>
        </w:rPr>
        <w:t>p</w:t>
      </w:r>
      <w:r w:rsidRPr="004B3AC1">
        <w:rPr>
          <w:rFonts w:ascii="Arial" w:hAnsi="Arial" w:cs="Arial"/>
          <w:sz w:val="24"/>
          <w:szCs w:val="24"/>
        </w:rPr>
        <w:t>romueve sociedades pacíficas e inclusivas para el desarrollo sostenible, facilitar el acceso a la justicia para todos y construir, a todos los niveles, instituciones eficaces e inclusivas que rindan cuentas.</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Cs/>
          <w:sz w:val="24"/>
          <w:szCs w:val="24"/>
        </w:rPr>
        <w:t>Gobierno Abierto, Eficiente y con Finanzas Sanas</w:t>
      </w:r>
      <w:r w:rsidR="00B61187" w:rsidRPr="004B3AC1">
        <w:rPr>
          <w:rFonts w:ascii="Arial" w:hAnsi="Arial" w:cs="Arial"/>
          <w:sz w:val="24"/>
          <w:szCs w:val="24"/>
        </w:rPr>
        <w:t>:</w:t>
      </w:r>
      <w:r w:rsidR="009215B7" w:rsidRPr="004B3AC1">
        <w:rPr>
          <w:rFonts w:ascii="Arial" w:hAnsi="Arial" w:cs="Arial"/>
          <w:sz w:val="24"/>
          <w:szCs w:val="24"/>
        </w:rPr>
        <w:t xml:space="preserve"> </w:t>
      </w:r>
      <w:r w:rsidR="00B61187" w:rsidRPr="004B3AC1">
        <w:rPr>
          <w:rFonts w:ascii="Arial" w:hAnsi="Arial" w:cs="Arial"/>
          <w:sz w:val="24"/>
          <w:szCs w:val="24"/>
        </w:rPr>
        <w:t>i</w:t>
      </w:r>
      <w:r w:rsidRPr="004B3AC1">
        <w:rPr>
          <w:rFonts w:ascii="Arial" w:hAnsi="Arial" w:cs="Arial"/>
          <w:sz w:val="24"/>
          <w:szCs w:val="24"/>
        </w:rPr>
        <w:t xml:space="preserve">mpulsa un gobierno austero y eficiente, que sea transparente, cercano a la gente, que combata la corrupción y que rinda cuentas. </w:t>
      </w:r>
    </w:p>
    <w:p w:rsidR="002C3062" w:rsidRPr="004B3AC1" w:rsidRDefault="002C3062" w:rsidP="00937932">
      <w:pPr>
        <w:pStyle w:val="Prrafodelista"/>
        <w:numPr>
          <w:ilvl w:val="0"/>
          <w:numId w:val="3"/>
        </w:numPr>
        <w:spacing w:before="100" w:beforeAutospacing="1" w:after="100" w:afterAutospacing="1" w:line="240" w:lineRule="auto"/>
        <w:contextualSpacing w:val="0"/>
        <w:jc w:val="both"/>
        <w:rPr>
          <w:rFonts w:ascii="Arial" w:hAnsi="Arial" w:cs="Arial"/>
          <w:sz w:val="24"/>
          <w:szCs w:val="24"/>
        </w:rPr>
      </w:pPr>
      <w:r w:rsidRPr="004B3AC1">
        <w:rPr>
          <w:rFonts w:ascii="Arial" w:hAnsi="Arial" w:cs="Arial"/>
          <w:bCs/>
          <w:sz w:val="24"/>
          <w:szCs w:val="24"/>
        </w:rPr>
        <w:t>Ciudades y Comunidades Sostenibles</w:t>
      </w:r>
      <w:r w:rsidR="00B61187" w:rsidRPr="004B3AC1">
        <w:rPr>
          <w:rFonts w:ascii="Arial" w:hAnsi="Arial" w:cs="Arial"/>
          <w:sz w:val="24"/>
          <w:szCs w:val="24"/>
        </w:rPr>
        <w:t>: m</w:t>
      </w:r>
      <w:r w:rsidRPr="004B3AC1">
        <w:rPr>
          <w:rFonts w:ascii="Arial" w:hAnsi="Arial" w:cs="Arial"/>
          <w:sz w:val="24"/>
          <w:szCs w:val="24"/>
        </w:rPr>
        <w:t>ejora la prosperidad de las ciudades y comunidades en el estado por medio de una infraestructura accesible y sostenible así como una adecuada planeación de los espacios urbanos y rurales.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El Plan Estatal de Desarrollo es la guía y orientación del funcionamiento </w:t>
      </w:r>
      <w:r w:rsidR="00B61187" w:rsidRPr="004B3AC1">
        <w:rPr>
          <w:rFonts w:ascii="Arial" w:hAnsi="Arial" w:cs="Arial"/>
          <w:sz w:val="24"/>
          <w:szCs w:val="24"/>
        </w:rPr>
        <w:t xml:space="preserve">de </w:t>
      </w:r>
      <w:r w:rsidRPr="004B3AC1">
        <w:rPr>
          <w:rFonts w:ascii="Arial" w:hAnsi="Arial" w:cs="Arial"/>
          <w:sz w:val="24"/>
          <w:szCs w:val="24"/>
        </w:rPr>
        <w:t>esta administración, dado que fue un proceso de construcción participativa de las prioridades de gobierno, con la participación de más de 123 mil personas, que aportaron ideas y proyectos para estructurar los objetivos, estrategias y líneas de acción.</w:t>
      </w:r>
    </w:p>
    <w:p w:rsidR="002C3062" w:rsidRPr="004B3AC1" w:rsidRDefault="00E21067"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planeación estratégica</w:t>
      </w:r>
      <w:r w:rsidR="002C3062" w:rsidRPr="004B3AC1">
        <w:rPr>
          <w:rFonts w:ascii="Arial" w:hAnsi="Arial" w:cs="Arial"/>
          <w:sz w:val="24"/>
          <w:szCs w:val="24"/>
        </w:rPr>
        <w:t xml:space="preserve"> a largo plazo y con la visión de todos permitirá hacer frente a los retos que nos presentan el entorno internacional y nacional, nos permitirá aprovechar las oportunidades y maximizar nuestras fortalezas.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este sentido los ingresos del Estado coadyuvan a la estructura del presupuesto que a su vez se direcciona al logro de los objetivos, estrategias y líneas de acción del Plan Estatal de Desarrollo 2018-2024.</w:t>
      </w:r>
    </w:p>
    <w:p w:rsidR="002C3062" w:rsidRPr="004B3AC1" w:rsidRDefault="00C043B1" w:rsidP="00937932">
      <w:pPr>
        <w:spacing w:before="100" w:beforeAutospacing="1" w:after="100" w:afterAutospacing="1" w:line="240" w:lineRule="auto"/>
        <w:jc w:val="both"/>
        <w:rPr>
          <w:rFonts w:ascii="Arial" w:hAnsi="Arial" w:cs="Arial"/>
          <w:b/>
          <w:bCs/>
          <w:sz w:val="24"/>
          <w:szCs w:val="24"/>
        </w:rPr>
      </w:pPr>
      <w:r w:rsidRPr="004B3AC1">
        <w:rPr>
          <w:rFonts w:ascii="Arial" w:hAnsi="Arial" w:cs="Arial"/>
          <w:b/>
          <w:bCs/>
          <w:sz w:val="24"/>
          <w:szCs w:val="24"/>
        </w:rPr>
        <w:t>I</w:t>
      </w:r>
      <w:r w:rsidR="002C3062" w:rsidRPr="004B3AC1">
        <w:rPr>
          <w:rFonts w:ascii="Arial" w:hAnsi="Arial" w:cs="Arial"/>
          <w:b/>
          <w:bCs/>
          <w:sz w:val="24"/>
          <w:szCs w:val="24"/>
        </w:rPr>
        <w:t>II. Riesgos relevantes para las finanzas públicas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cumplimiento a lo establecido en el artículo 5, fracción III</w:t>
      </w:r>
      <w:r w:rsidR="00E21067" w:rsidRPr="004B3AC1">
        <w:rPr>
          <w:rFonts w:ascii="Arial" w:hAnsi="Arial" w:cs="Arial"/>
          <w:sz w:val="24"/>
          <w:szCs w:val="24"/>
        </w:rPr>
        <w:t>,</w:t>
      </w:r>
      <w:r w:rsidRPr="004B3AC1">
        <w:rPr>
          <w:rFonts w:ascii="Arial" w:hAnsi="Arial" w:cs="Arial"/>
          <w:sz w:val="24"/>
          <w:szCs w:val="24"/>
        </w:rPr>
        <w:t xml:space="preserve"> de la Ley de Disciplina Financiera de las Entidades Federativas y los Municipios, se presentan los principales riesgos que se detectan para los ingresos que perciba el Estado en 2020, </w:t>
      </w:r>
      <w:r w:rsidR="00B61187" w:rsidRPr="004B3AC1">
        <w:rPr>
          <w:rFonts w:ascii="Arial" w:hAnsi="Arial" w:cs="Arial"/>
          <w:sz w:val="24"/>
          <w:szCs w:val="24"/>
        </w:rPr>
        <w:t>los cuales son los siguientes</w:t>
      </w:r>
      <w:r w:rsidRPr="004B3AC1">
        <w:rPr>
          <w:rFonts w:ascii="Arial" w:hAnsi="Arial" w:cs="Arial"/>
          <w:sz w:val="24"/>
          <w:szCs w:val="24"/>
        </w:rPr>
        <w:t>:</w:t>
      </w:r>
    </w:p>
    <w:p w:rsidR="002C3062" w:rsidRPr="004B3AC1" w:rsidRDefault="00B96926" w:rsidP="00B96926">
      <w:pPr>
        <w:spacing w:before="100" w:beforeAutospacing="1" w:after="100" w:afterAutospacing="1" w:line="240" w:lineRule="auto"/>
        <w:ind w:firstLine="709"/>
        <w:jc w:val="both"/>
        <w:rPr>
          <w:rFonts w:ascii="Arial" w:hAnsi="Arial" w:cs="Arial"/>
          <w:sz w:val="24"/>
          <w:szCs w:val="24"/>
        </w:rPr>
      </w:pPr>
      <w:r w:rsidRPr="004B3AC1">
        <w:rPr>
          <w:rFonts w:ascii="Arial" w:hAnsi="Arial" w:cs="Arial"/>
          <w:sz w:val="24"/>
          <w:szCs w:val="24"/>
        </w:rPr>
        <w:t xml:space="preserve">I. </w:t>
      </w:r>
      <w:r w:rsidR="002C3062" w:rsidRPr="004B3AC1">
        <w:rPr>
          <w:rFonts w:ascii="Arial" w:hAnsi="Arial" w:cs="Arial"/>
          <w:sz w:val="24"/>
          <w:szCs w:val="24"/>
        </w:rPr>
        <w:t>Una perspectiva de crecimiento económico de Estados Unidos de Norteamérica menor que el previsto. En caso de materializarse un menor crecimiento de la economía de este país, las exportaciones de México y Yucatán aumentarían a tasas menores que las proyectadas.</w:t>
      </w:r>
    </w:p>
    <w:p w:rsidR="002C3062" w:rsidRPr="004B3AC1" w:rsidRDefault="00B96926" w:rsidP="00B96926">
      <w:pPr>
        <w:spacing w:before="100" w:beforeAutospacing="1" w:after="100" w:afterAutospacing="1" w:line="240" w:lineRule="auto"/>
        <w:ind w:firstLine="709"/>
        <w:jc w:val="both"/>
        <w:rPr>
          <w:rFonts w:ascii="Arial" w:hAnsi="Arial" w:cs="Arial"/>
          <w:sz w:val="24"/>
          <w:szCs w:val="24"/>
        </w:rPr>
      </w:pPr>
      <w:r w:rsidRPr="004B3AC1">
        <w:rPr>
          <w:rFonts w:ascii="Arial" w:hAnsi="Arial" w:cs="Arial"/>
          <w:sz w:val="24"/>
          <w:szCs w:val="24"/>
        </w:rPr>
        <w:t xml:space="preserve">II. </w:t>
      </w:r>
      <w:r w:rsidR="002C3062" w:rsidRPr="004B3AC1">
        <w:rPr>
          <w:rFonts w:ascii="Arial" w:hAnsi="Arial" w:cs="Arial"/>
          <w:sz w:val="24"/>
          <w:szCs w:val="24"/>
        </w:rPr>
        <w:t>Un incremento en las tensiones comerciales y geopolíticas internacionales. Este riesgo disminuiría el comercio internacional, encareciendo los productos importados y limitando las exportaciones.</w:t>
      </w:r>
    </w:p>
    <w:p w:rsidR="002C3062" w:rsidRPr="004B3AC1" w:rsidRDefault="00B96926" w:rsidP="00B96926">
      <w:pPr>
        <w:spacing w:before="100" w:beforeAutospacing="1" w:after="100" w:afterAutospacing="1" w:line="240" w:lineRule="auto"/>
        <w:ind w:firstLine="709"/>
        <w:jc w:val="both"/>
        <w:rPr>
          <w:rFonts w:ascii="Arial" w:hAnsi="Arial" w:cs="Arial"/>
          <w:sz w:val="24"/>
          <w:szCs w:val="24"/>
        </w:rPr>
      </w:pPr>
      <w:r w:rsidRPr="004B3AC1">
        <w:rPr>
          <w:rFonts w:ascii="Arial" w:hAnsi="Arial" w:cs="Arial"/>
          <w:sz w:val="24"/>
          <w:szCs w:val="24"/>
        </w:rPr>
        <w:t xml:space="preserve">III. </w:t>
      </w:r>
      <w:r w:rsidR="002C3062" w:rsidRPr="004B3AC1">
        <w:rPr>
          <w:rFonts w:ascii="Arial" w:hAnsi="Arial" w:cs="Arial"/>
          <w:sz w:val="24"/>
          <w:szCs w:val="24"/>
        </w:rPr>
        <w:t>Condiciones en los mercados financieros internacionales menos favorables. Este fenómeno se traduciría en condiciones más restrictivas de financiamiento para los sect</w:t>
      </w:r>
      <w:r w:rsidR="00E21067" w:rsidRPr="004B3AC1">
        <w:rPr>
          <w:rFonts w:ascii="Arial" w:hAnsi="Arial" w:cs="Arial"/>
          <w:sz w:val="24"/>
          <w:szCs w:val="24"/>
        </w:rPr>
        <w:t>ores público y privado del país</w:t>
      </w:r>
      <w:r w:rsidR="002C3062" w:rsidRPr="004B3AC1">
        <w:rPr>
          <w:rFonts w:ascii="Arial" w:hAnsi="Arial" w:cs="Arial"/>
          <w:sz w:val="24"/>
          <w:szCs w:val="24"/>
        </w:rPr>
        <w:t xml:space="preserve"> y en un deterioro en la confianza de consumidores y empresas.</w:t>
      </w:r>
    </w:p>
    <w:p w:rsidR="002C3062" w:rsidRPr="004B3AC1" w:rsidRDefault="00B96926" w:rsidP="00B96926">
      <w:pPr>
        <w:spacing w:before="100" w:beforeAutospacing="1" w:after="100" w:afterAutospacing="1" w:line="240" w:lineRule="auto"/>
        <w:ind w:firstLine="709"/>
        <w:jc w:val="both"/>
        <w:rPr>
          <w:rFonts w:ascii="Arial" w:hAnsi="Arial" w:cs="Arial"/>
          <w:sz w:val="24"/>
          <w:szCs w:val="24"/>
        </w:rPr>
      </w:pPr>
      <w:r w:rsidRPr="004B3AC1">
        <w:rPr>
          <w:rFonts w:ascii="Arial" w:hAnsi="Arial" w:cs="Arial"/>
          <w:sz w:val="24"/>
          <w:szCs w:val="24"/>
        </w:rPr>
        <w:t xml:space="preserve">IV. </w:t>
      </w:r>
      <w:r w:rsidR="002C3062" w:rsidRPr="004B3AC1">
        <w:rPr>
          <w:rFonts w:ascii="Arial" w:hAnsi="Arial" w:cs="Arial"/>
          <w:sz w:val="24"/>
          <w:szCs w:val="24"/>
        </w:rPr>
        <w:t xml:space="preserve">Un menor ritmo de crecimiento de la economía mexicana. Existe una relación directa entre la actividad económica del país y los ingresos federales tributarios, por lo que un menor dinamismo en la economía se traduce en menores ingresos federales lo que se traslada directamente en una reducción de los ingresos que reciben las </w:t>
      </w:r>
      <w:r w:rsidRPr="004B3AC1">
        <w:rPr>
          <w:rFonts w:ascii="Arial" w:hAnsi="Arial" w:cs="Arial"/>
          <w:sz w:val="24"/>
          <w:szCs w:val="24"/>
        </w:rPr>
        <w:t xml:space="preserve">entidades federativas </w:t>
      </w:r>
      <w:r w:rsidR="002C3062" w:rsidRPr="004B3AC1">
        <w:rPr>
          <w:rFonts w:ascii="Arial" w:hAnsi="Arial" w:cs="Arial"/>
          <w:sz w:val="24"/>
          <w:szCs w:val="24"/>
        </w:rPr>
        <w:t xml:space="preserve">vía </w:t>
      </w:r>
      <w:r w:rsidRPr="004B3AC1">
        <w:rPr>
          <w:rFonts w:ascii="Arial" w:hAnsi="Arial" w:cs="Arial"/>
          <w:sz w:val="24"/>
          <w:szCs w:val="24"/>
        </w:rPr>
        <w:t xml:space="preserve">participaciones federales. </w:t>
      </w:r>
    </w:p>
    <w:p w:rsidR="002C3062" w:rsidRPr="004B3AC1" w:rsidRDefault="00B96926" w:rsidP="00B96926">
      <w:pPr>
        <w:spacing w:before="100" w:beforeAutospacing="1" w:after="100" w:afterAutospacing="1" w:line="240" w:lineRule="auto"/>
        <w:ind w:firstLine="709"/>
        <w:jc w:val="both"/>
        <w:rPr>
          <w:rFonts w:ascii="Arial" w:hAnsi="Arial" w:cs="Arial"/>
          <w:sz w:val="24"/>
          <w:szCs w:val="24"/>
        </w:rPr>
      </w:pPr>
      <w:r w:rsidRPr="004B3AC1">
        <w:rPr>
          <w:rFonts w:ascii="Arial" w:hAnsi="Arial" w:cs="Arial"/>
          <w:sz w:val="24"/>
          <w:szCs w:val="24"/>
        </w:rPr>
        <w:t xml:space="preserve">V. </w:t>
      </w:r>
      <w:r w:rsidR="002C3062" w:rsidRPr="004B3AC1">
        <w:rPr>
          <w:rFonts w:ascii="Arial" w:hAnsi="Arial" w:cs="Arial"/>
          <w:sz w:val="24"/>
          <w:szCs w:val="24"/>
        </w:rPr>
        <w:t xml:space="preserve">Precios internacionales del petróleo deprimidos o un bajo dinamismo de la plataforma de producción de petróleo. Es el mismo caso que el ritmo de la economía mexicana; unas afectaciones negativas en estas variables impactan adversamente el nivel de ingresos federales petroleros, generando presiones a las finanzas públicas, lo que se traduce en menores ingresos que perciban las </w:t>
      </w:r>
      <w:r w:rsidRPr="004B3AC1">
        <w:rPr>
          <w:rFonts w:ascii="Arial" w:hAnsi="Arial" w:cs="Arial"/>
          <w:sz w:val="24"/>
          <w:szCs w:val="24"/>
        </w:rPr>
        <w:t>entidades federativas vía participaciones federales.</w:t>
      </w:r>
    </w:p>
    <w:p w:rsidR="002C3062" w:rsidRPr="004B3AC1" w:rsidRDefault="00B96926" w:rsidP="00B96926">
      <w:pPr>
        <w:spacing w:before="100" w:beforeAutospacing="1" w:after="100" w:afterAutospacing="1" w:line="240" w:lineRule="auto"/>
        <w:ind w:firstLine="709"/>
        <w:jc w:val="both"/>
        <w:rPr>
          <w:rFonts w:ascii="Arial" w:hAnsi="Arial" w:cs="Arial"/>
          <w:sz w:val="24"/>
          <w:szCs w:val="24"/>
        </w:rPr>
      </w:pPr>
      <w:r w:rsidRPr="004B3AC1">
        <w:rPr>
          <w:rFonts w:ascii="Arial" w:hAnsi="Arial" w:cs="Arial"/>
          <w:sz w:val="24"/>
          <w:szCs w:val="24"/>
        </w:rPr>
        <w:t xml:space="preserve">VI. </w:t>
      </w:r>
      <w:r w:rsidR="002C3062" w:rsidRPr="004B3AC1">
        <w:rPr>
          <w:rFonts w:ascii="Arial" w:hAnsi="Arial" w:cs="Arial"/>
          <w:sz w:val="24"/>
          <w:szCs w:val="24"/>
        </w:rPr>
        <w:t xml:space="preserve">Modificaciones </w:t>
      </w:r>
      <w:r w:rsidRPr="004B3AC1">
        <w:rPr>
          <w:rFonts w:ascii="Arial" w:hAnsi="Arial" w:cs="Arial"/>
          <w:sz w:val="24"/>
          <w:szCs w:val="24"/>
        </w:rPr>
        <w:t xml:space="preserve">fiscales y presupuestales del </w:t>
      </w:r>
      <w:r w:rsidR="002C3062" w:rsidRPr="004B3AC1">
        <w:rPr>
          <w:rFonts w:ascii="Arial" w:hAnsi="Arial" w:cs="Arial"/>
          <w:sz w:val="24"/>
          <w:szCs w:val="24"/>
        </w:rPr>
        <w:t xml:space="preserve">Gobierno </w:t>
      </w:r>
      <w:r w:rsidRPr="004B3AC1">
        <w:rPr>
          <w:rFonts w:ascii="Arial" w:hAnsi="Arial" w:cs="Arial"/>
          <w:sz w:val="24"/>
          <w:szCs w:val="24"/>
        </w:rPr>
        <w:t>f</w:t>
      </w:r>
      <w:r w:rsidR="002C3062" w:rsidRPr="004B3AC1">
        <w:rPr>
          <w:rFonts w:ascii="Arial" w:hAnsi="Arial" w:cs="Arial"/>
          <w:sz w:val="24"/>
          <w:szCs w:val="24"/>
        </w:rPr>
        <w:t xml:space="preserve">ederal. Este riesgo que se ha venido materializando desde 2014, ha afectado principalmente los recursos que operan las </w:t>
      </w:r>
      <w:r w:rsidRPr="004B3AC1">
        <w:rPr>
          <w:rFonts w:ascii="Arial" w:hAnsi="Arial" w:cs="Arial"/>
          <w:sz w:val="24"/>
          <w:szCs w:val="24"/>
        </w:rPr>
        <w:t xml:space="preserve">entidades federativas </w:t>
      </w:r>
      <w:r w:rsidR="002C3062" w:rsidRPr="004B3AC1">
        <w:rPr>
          <w:rFonts w:ascii="Arial" w:hAnsi="Arial" w:cs="Arial"/>
          <w:sz w:val="24"/>
          <w:szCs w:val="24"/>
        </w:rPr>
        <w:t xml:space="preserve">a través de la firma de </w:t>
      </w:r>
      <w:r w:rsidRPr="004B3AC1">
        <w:rPr>
          <w:rFonts w:ascii="Arial" w:hAnsi="Arial" w:cs="Arial"/>
          <w:sz w:val="24"/>
          <w:szCs w:val="24"/>
        </w:rPr>
        <w:t>convenios de colaboración con la federación</w:t>
      </w:r>
      <w:r w:rsidR="002C3062" w:rsidRPr="004B3AC1">
        <w:rPr>
          <w:rFonts w:ascii="Arial" w:hAnsi="Arial" w:cs="Arial"/>
          <w:sz w:val="24"/>
          <w:szCs w:val="24"/>
        </w:rPr>
        <w:t xml:space="preserve">. Sin embargo, ante diversos señalamientos de la nueva administración federal existe incertidumbre sobre si habrá cambios significativos al marco fiscal vigente o a los programas federales que actualmente existen. </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Ante la diversidad de riesgos económicos, la estrategia principal con la que cuenta Gobierno del </w:t>
      </w:r>
      <w:r w:rsidR="00B96926" w:rsidRPr="004B3AC1">
        <w:rPr>
          <w:rFonts w:ascii="Arial" w:hAnsi="Arial" w:cs="Arial"/>
          <w:sz w:val="24"/>
          <w:szCs w:val="24"/>
        </w:rPr>
        <w:t>e</w:t>
      </w:r>
      <w:r w:rsidRPr="004B3AC1">
        <w:rPr>
          <w:rFonts w:ascii="Arial" w:hAnsi="Arial" w:cs="Arial"/>
          <w:sz w:val="24"/>
          <w:szCs w:val="24"/>
        </w:rPr>
        <w:t>stado es el fortalecimiento de los ingresos propios que dependen directamente de su accionar, sin embargo, esto puede ser insuficiente en el caso de una disminución real de las participaciones federales.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Asimismo, se plantea como estrategia el fortalecimiento del trabajo conjunto y la coordinación fiscal con los órdenes de gobierno federal y municipal, con la finalidad de implementar acciones que permitan incrementar los ingresos de las Haciendas Públicas.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Este accionar, además, se basa en hacer más eficiente el quehacer fiscal del Estado, a través de brindar las condiciones óptimas para el debido cumplimiento de las obligaciones de la ciudadanía, ampl</w:t>
      </w:r>
      <w:r w:rsidR="00E21067" w:rsidRPr="004B3AC1">
        <w:rPr>
          <w:rFonts w:ascii="Arial" w:hAnsi="Arial" w:cs="Arial"/>
          <w:sz w:val="24"/>
          <w:szCs w:val="24"/>
        </w:rPr>
        <w:t>iando la base de contribuyentes</w:t>
      </w:r>
      <w:r w:rsidRPr="004B3AC1">
        <w:rPr>
          <w:rFonts w:ascii="Arial" w:hAnsi="Arial" w:cs="Arial"/>
          <w:sz w:val="24"/>
          <w:szCs w:val="24"/>
        </w:rPr>
        <w:t xml:space="preserve"> logrando con ello potenciar la recaudación para la atención de necesidades y preservación de la economía de las familias yucatecas.</w:t>
      </w:r>
    </w:p>
    <w:p w:rsidR="00C5751F" w:rsidRPr="004B3AC1" w:rsidRDefault="00C043B1" w:rsidP="00C5751F">
      <w:pPr>
        <w:pStyle w:val="Prrafodelista"/>
        <w:spacing w:before="100" w:beforeAutospacing="1" w:after="100" w:afterAutospacing="1" w:line="240" w:lineRule="auto"/>
        <w:ind w:left="0"/>
        <w:jc w:val="both"/>
        <w:rPr>
          <w:rFonts w:ascii="Arial" w:hAnsi="Arial" w:cs="Arial"/>
          <w:b/>
          <w:sz w:val="24"/>
          <w:szCs w:val="24"/>
        </w:rPr>
      </w:pPr>
      <w:r w:rsidRPr="004B3AC1">
        <w:rPr>
          <w:rFonts w:ascii="Arial" w:hAnsi="Arial" w:cs="Arial"/>
          <w:b/>
          <w:sz w:val="24"/>
          <w:szCs w:val="24"/>
        </w:rPr>
        <w:t xml:space="preserve">IV. </w:t>
      </w:r>
      <w:r w:rsidR="00C5751F" w:rsidRPr="004B3AC1">
        <w:rPr>
          <w:rFonts w:ascii="Arial" w:hAnsi="Arial" w:cs="Arial"/>
          <w:b/>
          <w:sz w:val="24"/>
          <w:szCs w:val="24"/>
        </w:rPr>
        <w:t>Resultados de las finanzas públicas por un período de cinco años</w:t>
      </w:r>
    </w:p>
    <w:p w:rsidR="00C5751F" w:rsidRPr="004B3AC1" w:rsidRDefault="00C5751F" w:rsidP="00C5751F">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A fin de cumplir con lo establecido en el artículo 5 de la Ley de Disciplina Financiera de las Entidades Federativas y los Municipios, y los Criterios para la elaboración y presentación homogénea de la información financiera y de los formatos a que hace referencia la Ley de Disciplina Financiera de las Entidades Federativas y los Municipios, publicados el 11 de octubre de 2016 en el Diario Oficial de la Federación, se incluyen los resultados de las finanzas públicas por un periodo de cinco años (anexo I).</w:t>
      </w:r>
    </w:p>
    <w:p w:rsidR="00881527" w:rsidRPr="004B3AC1" w:rsidRDefault="00881527" w:rsidP="00881527">
      <w:pPr>
        <w:jc w:val="both"/>
        <w:rPr>
          <w:rFonts w:ascii="Arial" w:hAnsi="Arial" w:cs="Arial"/>
          <w:b/>
          <w:sz w:val="24"/>
          <w:szCs w:val="24"/>
        </w:rPr>
      </w:pPr>
      <w:r w:rsidRPr="004B3AC1">
        <w:rPr>
          <w:rFonts w:ascii="Arial" w:hAnsi="Arial" w:cs="Arial"/>
          <w:b/>
          <w:bCs/>
          <w:sz w:val="24"/>
          <w:szCs w:val="24"/>
        </w:rPr>
        <w:t>V.</w:t>
      </w:r>
      <w:r w:rsidRPr="004B3AC1">
        <w:rPr>
          <w:rFonts w:ascii="Arial" w:hAnsi="Arial" w:cs="Arial"/>
          <w:sz w:val="24"/>
          <w:szCs w:val="24"/>
        </w:rPr>
        <w:t xml:space="preserve"> </w:t>
      </w:r>
      <w:r w:rsidRPr="004B3AC1">
        <w:rPr>
          <w:rFonts w:ascii="Arial" w:hAnsi="Arial" w:cs="Arial"/>
          <w:b/>
          <w:sz w:val="24"/>
          <w:szCs w:val="24"/>
        </w:rPr>
        <w:t>Estimación de los ingresos correspondientes al cierre del ejercicio 2019</w:t>
      </w:r>
    </w:p>
    <w:p w:rsidR="00881527" w:rsidRPr="004B3AC1" w:rsidRDefault="00B0154C" w:rsidP="00B0154C">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w:t>
      </w:r>
      <w:r w:rsidR="00881527" w:rsidRPr="004B3AC1">
        <w:rPr>
          <w:rFonts w:ascii="Arial" w:hAnsi="Arial" w:cs="Arial"/>
          <w:sz w:val="24"/>
          <w:szCs w:val="24"/>
        </w:rPr>
        <w:t>a estimación de los ingresos correspondientes del ejercicio 201</w:t>
      </w:r>
      <w:r w:rsidRPr="004B3AC1">
        <w:rPr>
          <w:rFonts w:ascii="Arial" w:hAnsi="Arial" w:cs="Arial"/>
          <w:sz w:val="24"/>
          <w:szCs w:val="24"/>
        </w:rPr>
        <w:t>9</w:t>
      </w:r>
      <w:r w:rsidR="00881527" w:rsidRPr="004B3AC1">
        <w:rPr>
          <w:rFonts w:ascii="Arial" w:hAnsi="Arial" w:cs="Arial"/>
          <w:sz w:val="24"/>
          <w:szCs w:val="24"/>
        </w:rPr>
        <w:t>, que se obtengan directamente por fuentes de carácter estatal, así como por la transferencia de recursos provenientes del gobierno federal, se</w:t>
      </w:r>
      <w:r w:rsidRPr="004B3AC1">
        <w:rPr>
          <w:rFonts w:ascii="Arial" w:hAnsi="Arial" w:cs="Arial"/>
          <w:sz w:val="24"/>
          <w:szCs w:val="24"/>
        </w:rPr>
        <w:t xml:space="preserve"> desglosan en el Anexo I de la Iniciativa que se presenta.</w:t>
      </w:r>
    </w:p>
    <w:p w:rsidR="006B5E81" w:rsidRPr="004B3AC1" w:rsidRDefault="002C3062" w:rsidP="0093793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V</w:t>
      </w:r>
      <w:r w:rsidR="00881527" w:rsidRPr="004B3AC1">
        <w:rPr>
          <w:rFonts w:ascii="Arial" w:hAnsi="Arial" w:cs="Arial"/>
          <w:b/>
          <w:sz w:val="24"/>
          <w:szCs w:val="24"/>
        </w:rPr>
        <w:t>I</w:t>
      </w:r>
      <w:r w:rsidRPr="004B3AC1">
        <w:rPr>
          <w:rFonts w:ascii="Arial" w:hAnsi="Arial" w:cs="Arial"/>
          <w:b/>
          <w:sz w:val="24"/>
          <w:szCs w:val="24"/>
        </w:rPr>
        <w:t>.</w:t>
      </w:r>
      <w:r w:rsidR="006B5E81" w:rsidRPr="004B3AC1">
        <w:rPr>
          <w:rFonts w:ascii="Arial" w:hAnsi="Arial" w:cs="Arial"/>
          <w:b/>
          <w:sz w:val="24"/>
          <w:szCs w:val="24"/>
        </w:rPr>
        <w:t xml:space="preserve"> Estimación de los ingresos correspondientes para el ejercicio fiscal 2020</w:t>
      </w:r>
    </w:p>
    <w:p w:rsidR="006B5E81" w:rsidRPr="004B3AC1" w:rsidRDefault="006B5E81"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De acuerdo con la estimación de los ingresos que se obtengan directamente por fuentes de carácter estatal así como por la transferencia de recursos provenientes del gobierno federal para el próximo ejercicio, se estima que los ingresos consolidados del Gobierno del Estado de Yucatán para el ejercicio fiscal </w:t>
      </w:r>
      <w:r w:rsidR="00A643F1" w:rsidRPr="004B3AC1">
        <w:rPr>
          <w:rFonts w:ascii="Arial" w:hAnsi="Arial" w:cs="Arial"/>
          <w:sz w:val="24"/>
          <w:szCs w:val="24"/>
        </w:rPr>
        <w:t>2020</w:t>
      </w:r>
      <w:r w:rsidRPr="004B3AC1">
        <w:rPr>
          <w:rFonts w:ascii="Arial" w:hAnsi="Arial" w:cs="Arial"/>
          <w:sz w:val="24"/>
          <w:szCs w:val="24"/>
        </w:rPr>
        <w:t xml:space="preserve">, se ubican en </w:t>
      </w:r>
      <w:r w:rsidR="007A796A" w:rsidRPr="004B3AC1">
        <w:rPr>
          <w:rFonts w:ascii="Arial" w:hAnsi="Arial" w:cs="Arial"/>
          <w:sz w:val="24"/>
          <w:szCs w:val="24"/>
        </w:rPr>
        <w:fldChar w:fldCharType="begin"/>
      </w:r>
      <w:r w:rsidR="00D96EB1"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ley!F4C4" </w:instrText>
      </w:r>
      <w:r w:rsidR="00D96EB1"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$44,189,647,866.00</w:t>
      </w:r>
      <w:r w:rsidR="007A796A" w:rsidRPr="004B3AC1">
        <w:rPr>
          <w:rFonts w:ascii="Arial" w:hAnsi="Arial" w:cs="Arial"/>
          <w:sz w:val="24"/>
          <w:szCs w:val="24"/>
        </w:rPr>
        <w:fldChar w:fldCharType="end"/>
      </w:r>
      <w:r w:rsidR="00D96EB1" w:rsidRPr="004B3AC1">
        <w:rPr>
          <w:rFonts w:ascii="Arial" w:hAnsi="Arial" w:cs="Arial"/>
          <w:sz w:val="24"/>
          <w:szCs w:val="24"/>
        </w:rPr>
        <w:t>.</w:t>
      </w:r>
    </w:p>
    <w:p w:rsidR="006B5E81" w:rsidRPr="004B3AC1" w:rsidRDefault="006B5E81"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Al respecto, el desglose de los ingresos del gobierno estatal es el siguiente: </w:t>
      </w:r>
      <w:r w:rsidR="007A796A" w:rsidRPr="004B3AC1">
        <w:rPr>
          <w:rFonts w:ascii="Arial" w:hAnsi="Arial" w:cs="Arial"/>
          <w:sz w:val="24"/>
          <w:szCs w:val="24"/>
        </w:rPr>
        <w:fldChar w:fldCharType="begin"/>
      </w:r>
      <w:r w:rsidR="00D96EB1"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ley!F6C4" </w:instrText>
      </w:r>
      <w:r w:rsidR="00D96EB1"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$2,239,518,517.00</w:t>
      </w:r>
      <w:r w:rsidR="007A796A" w:rsidRPr="004B3AC1">
        <w:rPr>
          <w:rFonts w:ascii="Arial" w:hAnsi="Arial" w:cs="Arial"/>
          <w:sz w:val="24"/>
          <w:szCs w:val="24"/>
        </w:rPr>
        <w:fldChar w:fldCharType="end"/>
      </w:r>
      <w:r w:rsidRPr="004B3AC1">
        <w:rPr>
          <w:rFonts w:ascii="Arial" w:hAnsi="Arial" w:cs="Arial"/>
          <w:sz w:val="24"/>
          <w:szCs w:val="24"/>
        </w:rPr>
        <w:t xml:space="preserve"> serán captados a través de impuestos; </w:t>
      </w:r>
      <w:r w:rsidR="007A796A" w:rsidRPr="004B3AC1">
        <w:rPr>
          <w:rFonts w:ascii="Arial" w:hAnsi="Arial" w:cs="Arial"/>
          <w:sz w:val="24"/>
          <w:szCs w:val="24"/>
        </w:rPr>
        <w:fldChar w:fldCharType="begin"/>
      </w:r>
      <w:r w:rsidR="00D96EB1"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ley!F50C4" </w:instrText>
      </w:r>
      <w:r w:rsidR="00D96EB1"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$2,365,054,206.00</w:t>
      </w:r>
      <w:r w:rsidR="007A796A" w:rsidRPr="004B3AC1">
        <w:rPr>
          <w:rFonts w:ascii="Arial" w:hAnsi="Arial" w:cs="Arial"/>
          <w:sz w:val="24"/>
          <w:szCs w:val="24"/>
        </w:rPr>
        <w:fldChar w:fldCharType="end"/>
      </w:r>
      <w:r w:rsidRPr="004B3AC1">
        <w:rPr>
          <w:rFonts w:ascii="Arial" w:hAnsi="Arial" w:cs="Arial"/>
          <w:sz w:val="24"/>
          <w:szCs w:val="24"/>
        </w:rPr>
        <w:t xml:space="preserve"> corresponden a derechos; </w:t>
      </w:r>
      <w:r w:rsidR="007A796A" w:rsidRPr="004B3AC1">
        <w:rPr>
          <w:rFonts w:ascii="Arial" w:hAnsi="Arial" w:cs="Arial"/>
          <w:sz w:val="24"/>
          <w:szCs w:val="24"/>
        </w:rPr>
        <w:fldChar w:fldCharType="begin"/>
      </w:r>
      <w:r w:rsidR="00D96EB1"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ley!F97C4" </w:instrText>
      </w:r>
      <w:r w:rsidR="00D96EB1"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$68,501,099.00</w:t>
      </w:r>
      <w:r w:rsidR="007A796A" w:rsidRPr="004B3AC1">
        <w:rPr>
          <w:rFonts w:ascii="Arial" w:hAnsi="Arial" w:cs="Arial"/>
          <w:sz w:val="24"/>
          <w:szCs w:val="24"/>
        </w:rPr>
        <w:fldChar w:fldCharType="end"/>
      </w:r>
      <w:r w:rsidRPr="004B3AC1">
        <w:rPr>
          <w:rFonts w:ascii="Arial" w:hAnsi="Arial" w:cs="Arial"/>
          <w:sz w:val="24"/>
          <w:szCs w:val="24"/>
        </w:rPr>
        <w:t xml:space="preserve"> a productos; </w:t>
      </w:r>
      <w:r w:rsidR="007A796A" w:rsidRPr="004B3AC1">
        <w:rPr>
          <w:rFonts w:ascii="Arial" w:hAnsi="Arial" w:cs="Arial"/>
          <w:sz w:val="24"/>
          <w:szCs w:val="24"/>
        </w:rPr>
        <w:fldChar w:fldCharType="begin"/>
      </w:r>
      <w:r w:rsidR="00D96EB1"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ley!F108C4" </w:instrText>
      </w:r>
      <w:r w:rsidR="00D96EB1"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$120,502,692.00</w:t>
      </w:r>
      <w:r w:rsidR="007A796A" w:rsidRPr="004B3AC1">
        <w:rPr>
          <w:rFonts w:ascii="Arial" w:hAnsi="Arial" w:cs="Arial"/>
          <w:sz w:val="24"/>
          <w:szCs w:val="24"/>
        </w:rPr>
        <w:fldChar w:fldCharType="end"/>
      </w:r>
      <w:r w:rsidRPr="004B3AC1">
        <w:rPr>
          <w:rFonts w:ascii="Arial" w:hAnsi="Arial" w:cs="Arial"/>
          <w:sz w:val="24"/>
          <w:szCs w:val="24"/>
        </w:rPr>
        <w:t xml:space="preserve"> a los aprovechamientos;</w:t>
      </w:r>
      <w:r w:rsidR="007A796A" w:rsidRPr="004B3AC1">
        <w:rPr>
          <w:rFonts w:ascii="Arial" w:hAnsi="Arial" w:cs="Arial"/>
          <w:sz w:val="24"/>
          <w:szCs w:val="24"/>
        </w:rPr>
        <w:fldChar w:fldCharType="begin"/>
      </w:r>
      <w:r w:rsidR="00C87C8F"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ley!F200C4" </w:instrText>
      </w:r>
      <w:r w:rsidR="00C87C8F"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$32,309,672,921.00</w:t>
      </w:r>
      <w:r w:rsidR="007A796A" w:rsidRPr="004B3AC1">
        <w:rPr>
          <w:rFonts w:ascii="Arial" w:hAnsi="Arial" w:cs="Arial"/>
          <w:sz w:val="24"/>
          <w:szCs w:val="24"/>
        </w:rPr>
        <w:fldChar w:fldCharType="end"/>
      </w:r>
      <w:r w:rsidRPr="004B3AC1">
        <w:rPr>
          <w:rFonts w:ascii="Arial" w:hAnsi="Arial" w:cs="Arial"/>
          <w:sz w:val="24"/>
          <w:szCs w:val="24"/>
        </w:rPr>
        <w:t xml:space="preserve"> a participaciones, aportaciones, convenios e incentivos; y, </w:t>
      </w:r>
      <w:r w:rsidR="007A796A" w:rsidRPr="004B3AC1">
        <w:rPr>
          <w:rFonts w:ascii="Arial" w:hAnsi="Arial" w:cs="Arial"/>
          <w:sz w:val="24"/>
          <w:szCs w:val="24"/>
        </w:rPr>
        <w:fldChar w:fldCharType="begin"/>
      </w:r>
      <w:r w:rsidR="00C87C8F"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ley!F394C4" </w:instrText>
      </w:r>
      <w:r w:rsidR="00C87C8F"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$2,065,694,585.00</w:t>
      </w:r>
      <w:r w:rsidR="007A796A" w:rsidRPr="004B3AC1">
        <w:rPr>
          <w:rFonts w:ascii="Arial" w:hAnsi="Arial" w:cs="Arial"/>
          <w:sz w:val="24"/>
          <w:szCs w:val="24"/>
        </w:rPr>
        <w:fldChar w:fldCharType="end"/>
      </w:r>
      <w:r w:rsidRPr="004B3AC1">
        <w:rPr>
          <w:rFonts w:ascii="Arial" w:hAnsi="Arial" w:cs="Arial"/>
          <w:sz w:val="24"/>
          <w:szCs w:val="24"/>
        </w:rPr>
        <w:t>a transferencias, asignaciones, subsidios y otras ayudas.</w:t>
      </w:r>
    </w:p>
    <w:p w:rsidR="006B5E81" w:rsidRPr="004B3AC1" w:rsidRDefault="006B5E81"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cuanto a los conceptos que integran los ingresos de organismos y empresas son los siguientes:</w:t>
      </w:r>
      <w:r w:rsidR="007A796A" w:rsidRPr="004B3AC1">
        <w:rPr>
          <w:rFonts w:ascii="Arial" w:hAnsi="Arial" w:cs="Arial"/>
          <w:sz w:val="24"/>
          <w:szCs w:val="24"/>
        </w:rPr>
        <w:fldChar w:fldCharType="begin"/>
      </w:r>
      <w:r w:rsidR="00C87C8F"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ley!F34C4" </w:instrText>
      </w:r>
      <w:r w:rsidR="00C87C8F"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$1,359,594,933.00</w:t>
      </w:r>
      <w:r w:rsidR="007A796A" w:rsidRPr="004B3AC1">
        <w:rPr>
          <w:rFonts w:ascii="Arial" w:hAnsi="Arial" w:cs="Arial"/>
          <w:sz w:val="24"/>
          <w:szCs w:val="24"/>
        </w:rPr>
        <w:fldChar w:fldCharType="end"/>
      </w:r>
      <w:r w:rsidR="001446D9" w:rsidRPr="004B3AC1">
        <w:rPr>
          <w:rFonts w:ascii="Arial" w:hAnsi="Arial" w:cs="Arial"/>
          <w:sz w:val="24"/>
          <w:szCs w:val="24"/>
        </w:rPr>
        <w:t xml:space="preserve">de cuotas y aportaciones de seguridad social y, </w:t>
      </w:r>
      <w:r w:rsidR="007A796A" w:rsidRPr="004B3AC1">
        <w:rPr>
          <w:rFonts w:ascii="Arial" w:hAnsi="Arial" w:cs="Arial"/>
          <w:sz w:val="24"/>
          <w:szCs w:val="24"/>
        </w:rPr>
        <w:fldChar w:fldCharType="begin"/>
      </w:r>
      <w:r w:rsidR="00C87C8F" w:rsidRPr="004B3AC1">
        <w:rPr>
          <w:rFonts w:ascii="Arial" w:hAnsi="Arial" w:cs="Arial"/>
          <w:sz w:val="24"/>
          <w:szCs w:val="24"/>
        </w:rPr>
        <w:instrText xml:space="preserve"> LINK </w:instrText>
      </w:r>
      <w:r w:rsidR="004C7C72" w:rsidRPr="004B3AC1">
        <w:rPr>
          <w:rFonts w:ascii="Arial" w:hAnsi="Arial" w:cs="Arial"/>
          <w:sz w:val="24"/>
          <w:szCs w:val="24"/>
        </w:rPr>
        <w:instrText xml:space="preserve">Excel.Sheet.12 "/Users/gabrielcauichcastilla/Library/Mobile Documents/com~apple~CloudDocs/S. Finanzas/1 2020 Presupuesto 2020/1 LIEY 2020/2020 Ley Ingresos.xlsx" "Formato de ley!F121C4" </w:instrText>
      </w:r>
      <w:r w:rsidR="00C87C8F" w:rsidRPr="004B3AC1">
        <w:rPr>
          <w:rFonts w:ascii="Arial" w:hAnsi="Arial" w:cs="Arial"/>
          <w:sz w:val="24"/>
          <w:szCs w:val="24"/>
        </w:rPr>
        <w:instrText xml:space="preserve">\a \f 4 \r </w:instrText>
      </w:r>
      <w:r w:rsidR="00464088" w:rsidRPr="004B3AC1">
        <w:rPr>
          <w:rFonts w:ascii="Arial" w:hAnsi="Arial" w:cs="Arial"/>
          <w:sz w:val="24"/>
          <w:szCs w:val="24"/>
        </w:rPr>
        <w:instrText xml:space="preserve"> \* MERGEFORMAT </w:instrText>
      </w:r>
      <w:r w:rsidR="007A796A" w:rsidRPr="004B3AC1">
        <w:rPr>
          <w:rFonts w:ascii="Arial" w:hAnsi="Arial" w:cs="Arial"/>
          <w:sz w:val="24"/>
          <w:szCs w:val="24"/>
        </w:rPr>
        <w:fldChar w:fldCharType="separate"/>
      </w:r>
      <w:r w:rsidR="004C7C72" w:rsidRPr="004B3AC1">
        <w:rPr>
          <w:rFonts w:ascii="Arial" w:eastAsiaTheme="minorEastAsia" w:hAnsi="Arial" w:cs="Arial"/>
          <w:sz w:val="24"/>
          <w:szCs w:val="24"/>
          <w:lang w:eastAsia="es-MX"/>
        </w:rPr>
        <w:t>$1,656,488,913.00</w:t>
      </w:r>
      <w:r w:rsidR="007A796A" w:rsidRPr="004B3AC1">
        <w:rPr>
          <w:rFonts w:ascii="Arial" w:hAnsi="Arial" w:cs="Arial"/>
          <w:sz w:val="24"/>
          <w:szCs w:val="24"/>
        </w:rPr>
        <w:fldChar w:fldCharType="end"/>
      </w:r>
      <w:r w:rsidRPr="004B3AC1">
        <w:rPr>
          <w:rFonts w:ascii="Arial" w:hAnsi="Arial" w:cs="Arial"/>
          <w:sz w:val="24"/>
          <w:szCs w:val="24"/>
        </w:rPr>
        <w:t xml:space="preserve"> de ingresos por venta de bienes, prestación de servicios y otros ingresos.</w:t>
      </w:r>
    </w:p>
    <w:p w:rsidR="006B5E81" w:rsidRPr="004B3AC1" w:rsidRDefault="006B5E81"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La obtención de estos ingresos se realiza con fundamento en los artículos 31, fracción IV, de la Constitución Política de los Estados Unidos Mexicanos y 3, fracción II, de la Constitución del Estado de Yucatán, que establecen acerca de la obligación de los mexicanos de contribuir para los gastos públicos de la federación, del estado y del municipio en que residan, de la manera proporcional y equitativa que dispongan las leyes que establezcan contribuciones. </w:t>
      </w:r>
    </w:p>
    <w:p w:rsidR="002C3062" w:rsidRPr="004B3AC1" w:rsidRDefault="00F30C8E" w:rsidP="00937932">
      <w:pPr>
        <w:spacing w:before="100" w:beforeAutospacing="1" w:after="100" w:afterAutospacing="1" w:line="240" w:lineRule="auto"/>
        <w:jc w:val="both"/>
        <w:rPr>
          <w:rFonts w:ascii="Arial" w:hAnsi="Arial"/>
          <w:i/>
          <w:sz w:val="24"/>
        </w:rPr>
      </w:pPr>
      <w:r w:rsidRPr="004B3AC1">
        <w:rPr>
          <w:rFonts w:ascii="Arial" w:hAnsi="Arial"/>
          <w:i/>
          <w:sz w:val="24"/>
        </w:rPr>
        <w:t>Modificación a</w:t>
      </w:r>
      <w:r w:rsidR="009215B7" w:rsidRPr="004B3AC1">
        <w:rPr>
          <w:rFonts w:ascii="Arial" w:hAnsi="Arial"/>
          <w:i/>
          <w:sz w:val="24"/>
        </w:rPr>
        <w:t xml:space="preserve"> </w:t>
      </w:r>
      <w:r w:rsidR="004E5954" w:rsidRPr="004B3AC1">
        <w:rPr>
          <w:rFonts w:ascii="Arial" w:hAnsi="Arial"/>
          <w:i/>
          <w:sz w:val="24"/>
        </w:rPr>
        <w:t>i</w:t>
      </w:r>
      <w:r w:rsidR="006B5E81" w:rsidRPr="004B3AC1">
        <w:rPr>
          <w:rFonts w:ascii="Arial" w:hAnsi="Arial"/>
          <w:i/>
          <w:sz w:val="24"/>
        </w:rPr>
        <w:t>mpuestos y derechos nuevos</w:t>
      </w:r>
    </w:p>
    <w:p w:rsidR="00C66CA6" w:rsidRPr="004B3AC1" w:rsidRDefault="00C66CA6"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Para el ejercicio fiscal 2020 no se prevén nuevos impuestos y se incluyen dos nuevos derechos, para la preservación y restauración del equilibrio ecológico y por los servicios de Infraestructura </w:t>
      </w:r>
      <w:r w:rsidR="009215B7" w:rsidRPr="004B3AC1">
        <w:rPr>
          <w:rFonts w:ascii="Arial" w:hAnsi="Arial" w:cs="Arial"/>
          <w:sz w:val="24"/>
          <w:szCs w:val="24"/>
        </w:rPr>
        <w:t xml:space="preserve">Tecnológica </w:t>
      </w:r>
      <w:r w:rsidRPr="004B3AC1">
        <w:rPr>
          <w:rFonts w:ascii="Arial" w:hAnsi="Arial" w:cs="Arial"/>
          <w:sz w:val="24"/>
          <w:szCs w:val="24"/>
        </w:rPr>
        <w:t>en Materia de Seguridad Pública.</w:t>
      </w:r>
    </w:p>
    <w:p w:rsidR="00C66CA6" w:rsidRPr="004B3AC1" w:rsidRDefault="00971AB2" w:rsidP="00937932">
      <w:pPr>
        <w:spacing w:before="100" w:beforeAutospacing="1" w:after="100" w:afterAutospacing="1" w:line="240" w:lineRule="auto"/>
        <w:jc w:val="both"/>
        <w:rPr>
          <w:rFonts w:ascii="Arial" w:hAnsi="Arial" w:cs="Arial"/>
          <w:bCs/>
          <w:i/>
          <w:sz w:val="24"/>
          <w:szCs w:val="24"/>
        </w:rPr>
      </w:pPr>
      <w:r w:rsidRPr="004B3AC1">
        <w:rPr>
          <w:rFonts w:ascii="Arial" w:hAnsi="Arial" w:cs="Arial"/>
          <w:bCs/>
          <w:i/>
          <w:sz w:val="24"/>
          <w:szCs w:val="24"/>
        </w:rPr>
        <w:t>Clasificación de los ingresos</w:t>
      </w:r>
    </w:p>
    <w:p w:rsidR="00C66CA6" w:rsidRPr="004B3AC1" w:rsidRDefault="00BB298D" w:rsidP="00BB298D">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integración y presentación de los ingresos estimados para el ejercicio fiscal 2020 se presenta conforme a lo establecido en el “Clasificador por Rubros de Ingresos” emitido por el CONAC. Cada uno de los rubros está desagregado por lo menos al tercer nivel a efecto de presentar un esquema claro, preciso, integral y útil, que facilite la interrelación con las cuentas patrimoniales.</w:t>
      </w:r>
    </w:p>
    <w:p w:rsidR="00BB298D" w:rsidRPr="004B3AC1" w:rsidRDefault="0088687D" w:rsidP="00BB298D">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Adicionalmente,</w:t>
      </w:r>
      <w:r w:rsidR="00BB298D" w:rsidRPr="004B3AC1">
        <w:rPr>
          <w:rFonts w:ascii="Arial" w:hAnsi="Arial" w:cs="Arial"/>
          <w:sz w:val="24"/>
          <w:szCs w:val="24"/>
        </w:rPr>
        <w:t xml:space="preserve"> se han desagregado con mayor detalle los rubros de Derechos y Participaciones, Aportaciones, Convenios, Incentivos Derivados de la Colaboración Fiscal y Fondos Distintos de Aportaciones</w:t>
      </w:r>
      <w:r w:rsidRPr="004B3AC1">
        <w:rPr>
          <w:rFonts w:ascii="Arial" w:hAnsi="Arial" w:cs="Arial"/>
          <w:sz w:val="24"/>
          <w:szCs w:val="24"/>
        </w:rPr>
        <w:t>.</w:t>
      </w:r>
    </w:p>
    <w:p w:rsidR="00AC60BA" w:rsidRPr="004B3AC1" w:rsidRDefault="00AC60BA" w:rsidP="00937932">
      <w:pPr>
        <w:spacing w:before="100" w:beforeAutospacing="1" w:after="100" w:afterAutospacing="1" w:line="240" w:lineRule="auto"/>
        <w:jc w:val="both"/>
        <w:rPr>
          <w:rFonts w:ascii="Arial" w:hAnsi="Arial" w:cs="Arial"/>
          <w:bCs/>
          <w:i/>
          <w:sz w:val="24"/>
          <w:szCs w:val="24"/>
          <w:lang w:val="es-ES"/>
        </w:rPr>
      </w:pPr>
      <w:r w:rsidRPr="004B3AC1">
        <w:rPr>
          <w:rFonts w:ascii="Arial" w:hAnsi="Arial" w:cs="Arial"/>
          <w:bCs/>
          <w:i/>
          <w:sz w:val="24"/>
          <w:szCs w:val="24"/>
          <w:lang w:val="es-ES"/>
        </w:rPr>
        <w:t>Financiamiento Yucatán Seguro</w:t>
      </w:r>
    </w:p>
    <w:p w:rsidR="00305062" w:rsidRPr="004B3AC1" w:rsidRDefault="00305062" w:rsidP="00937932">
      <w:pPr>
        <w:autoSpaceDE w:val="0"/>
        <w:autoSpaceDN w:val="0"/>
        <w:adjustRightInd w:val="0"/>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iniciativa de la Ley de Ingresos para este ejercicio prevé la continuación de disposición de recursos derivados del financiamiento autorizado por este H. Congreso del Estado en el ejercicio anterior.</w:t>
      </w:r>
    </w:p>
    <w:p w:rsidR="00AC60BA" w:rsidRPr="004B3AC1" w:rsidRDefault="00E21067" w:rsidP="00937932">
      <w:pPr>
        <w:autoSpaceDE w:val="0"/>
        <w:autoSpaceDN w:val="0"/>
        <w:adjustRightInd w:val="0"/>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Con base en el </w:t>
      </w:r>
      <w:r w:rsidR="00AC60BA" w:rsidRPr="004B3AC1">
        <w:rPr>
          <w:rFonts w:ascii="Arial" w:hAnsi="Arial" w:cs="Arial"/>
          <w:iCs/>
          <w:sz w:val="24"/>
          <w:szCs w:val="24"/>
        </w:rPr>
        <w:t>Decreto 98/2019 por el que se autoriza al Poder Ejecutivo del Estado de Yucatán para contratar empréstitos que se destinarán a inversiones públicas productivas cuyo objetivo será la implementación del Sistema Integral de Se</w:t>
      </w:r>
      <w:r w:rsidR="005F4AA0" w:rsidRPr="004B3AC1">
        <w:rPr>
          <w:rFonts w:ascii="Arial" w:hAnsi="Arial" w:cs="Arial"/>
          <w:iCs/>
          <w:sz w:val="24"/>
          <w:szCs w:val="24"/>
        </w:rPr>
        <w:t>guridad Electrónica denominado “</w:t>
      </w:r>
      <w:r w:rsidR="00AC60BA" w:rsidRPr="004B3AC1">
        <w:rPr>
          <w:rFonts w:ascii="Arial" w:hAnsi="Arial" w:cs="Arial"/>
          <w:iCs/>
          <w:sz w:val="24"/>
          <w:szCs w:val="24"/>
        </w:rPr>
        <w:t>Fortalecimiento Tecnológico de Seguri</w:t>
      </w:r>
      <w:r w:rsidR="005F4AA0" w:rsidRPr="004B3AC1">
        <w:rPr>
          <w:rFonts w:ascii="Arial" w:hAnsi="Arial" w:cs="Arial"/>
          <w:iCs/>
          <w:sz w:val="24"/>
          <w:szCs w:val="24"/>
        </w:rPr>
        <w:t>dad y Monitoreo, Yucatán Seguro”</w:t>
      </w:r>
      <w:r w:rsidR="00AC60BA" w:rsidRPr="004B3AC1">
        <w:rPr>
          <w:rFonts w:ascii="Arial" w:hAnsi="Arial" w:cs="Arial"/>
          <w:iCs/>
          <w:sz w:val="24"/>
          <w:szCs w:val="24"/>
        </w:rPr>
        <w:t>, y para afectar ingresos y derechos correspondientes al Fondo General de Participaciones, como fuente de pago de la operación de financiamiento; y se modifica la Ley de Ingresos del Estado de Yucatán para el Ejercicio Fiscal 2019</w:t>
      </w:r>
      <w:r w:rsidR="00AC60BA" w:rsidRPr="004B3AC1">
        <w:rPr>
          <w:rFonts w:ascii="Arial" w:hAnsi="Arial" w:cs="Arial"/>
          <w:sz w:val="24"/>
          <w:szCs w:val="24"/>
        </w:rPr>
        <w:t>”, publicado en el Diario Oficial del Gobierno del Estado de Yucatán el 31 de julio de 2019, se autorizó la contratación y ejercicio de $2,620,000,000.00 (dos mil seiscientos veinte millones de pesos) durante los ejercicios 2019 y 2020.</w:t>
      </w:r>
    </w:p>
    <w:p w:rsidR="00AC60BA" w:rsidRPr="004B3AC1" w:rsidRDefault="00AC428E" w:rsidP="00937932">
      <w:pPr>
        <w:autoSpaceDE w:val="0"/>
        <w:autoSpaceDN w:val="0"/>
        <w:adjustRightInd w:val="0"/>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ese sentido, e</w:t>
      </w:r>
      <w:r w:rsidR="00AC60BA" w:rsidRPr="004B3AC1">
        <w:rPr>
          <w:rFonts w:ascii="Arial" w:hAnsi="Arial" w:cs="Arial"/>
          <w:sz w:val="24"/>
          <w:szCs w:val="24"/>
        </w:rPr>
        <w:t xml:space="preserve">l Poder Ejecutivo del Estado por conducto de la Secretaría de Administración y Finanzas, contrató un crédito simple por la cantidad de $2,620,000,000.00 pesos a un plazo de 20 años, con la institución financiera Banco Nacional de México, S.A. integrante de Grupo Financiero Banamex (Citibanamex), conforme al fallo de fecha 27 de septiembre de 2019, resultado de la licitación pública número SAF/PCLP/01-2019. </w:t>
      </w:r>
    </w:p>
    <w:p w:rsidR="00AC60BA" w:rsidRPr="004B3AC1" w:rsidRDefault="007B2028" w:rsidP="00937932">
      <w:pPr>
        <w:autoSpaceDE w:val="0"/>
        <w:autoSpaceDN w:val="0"/>
        <w:adjustRightInd w:val="0"/>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Se estima cerrar el ejercicio fiscal</w:t>
      </w:r>
      <w:r w:rsidR="00AC60BA" w:rsidRPr="004B3AC1">
        <w:rPr>
          <w:rFonts w:ascii="Arial" w:hAnsi="Arial" w:cs="Arial"/>
          <w:sz w:val="24"/>
          <w:szCs w:val="24"/>
        </w:rPr>
        <w:t xml:space="preserve"> 2019 </w:t>
      </w:r>
      <w:r w:rsidRPr="004B3AC1">
        <w:rPr>
          <w:rFonts w:ascii="Arial" w:hAnsi="Arial" w:cs="Arial"/>
          <w:sz w:val="24"/>
          <w:szCs w:val="24"/>
        </w:rPr>
        <w:t>disponiendo</w:t>
      </w:r>
      <w:r w:rsidR="00AC60BA" w:rsidRPr="004B3AC1">
        <w:rPr>
          <w:rFonts w:ascii="Arial" w:hAnsi="Arial" w:cs="Arial"/>
          <w:sz w:val="24"/>
          <w:szCs w:val="24"/>
        </w:rPr>
        <w:t xml:space="preserve"> la cantidad de </w:t>
      </w:r>
      <w:r w:rsidR="005973EF" w:rsidRPr="004B3AC1">
        <w:rPr>
          <w:rFonts w:ascii="Arial" w:hAnsi="Arial"/>
          <w:sz w:val="24"/>
        </w:rPr>
        <w:t>$615,380,000.00</w:t>
      </w:r>
      <w:r w:rsidR="00AC60BA" w:rsidRPr="004B3AC1">
        <w:rPr>
          <w:rFonts w:ascii="Arial" w:hAnsi="Arial" w:cs="Arial"/>
          <w:sz w:val="24"/>
          <w:szCs w:val="24"/>
        </w:rPr>
        <w:t>, por lo que el remanente</w:t>
      </w:r>
      <w:r w:rsidR="00305062" w:rsidRPr="004B3AC1">
        <w:rPr>
          <w:rFonts w:ascii="Arial" w:hAnsi="Arial" w:cs="Arial"/>
          <w:sz w:val="24"/>
          <w:szCs w:val="24"/>
        </w:rPr>
        <w:t xml:space="preserve"> del financiamiento autorizado </w:t>
      </w:r>
      <w:r w:rsidR="00AC60BA" w:rsidRPr="004B3AC1">
        <w:rPr>
          <w:rFonts w:ascii="Arial" w:hAnsi="Arial" w:cs="Arial"/>
          <w:sz w:val="24"/>
          <w:szCs w:val="24"/>
        </w:rPr>
        <w:t xml:space="preserve">se continuará disponiendo hasta por la cantidad </w:t>
      </w:r>
      <w:r w:rsidR="005973EF" w:rsidRPr="004B3AC1">
        <w:rPr>
          <w:rFonts w:ascii="Arial" w:hAnsi="Arial"/>
          <w:sz w:val="24"/>
        </w:rPr>
        <w:t>$2,004,620,000.00</w:t>
      </w:r>
      <w:r w:rsidR="004F3C68" w:rsidRPr="004B3AC1">
        <w:rPr>
          <w:rFonts w:ascii="Arial" w:hAnsi="Arial"/>
          <w:sz w:val="24"/>
        </w:rPr>
        <w:t xml:space="preserve"> </w:t>
      </w:r>
      <w:r w:rsidR="00AC60BA" w:rsidRPr="004B3AC1">
        <w:rPr>
          <w:rFonts w:ascii="Arial" w:hAnsi="Arial" w:cs="Arial"/>
          <w:sz w:val="24"/>
          <w:szCs w:val="24"/>
        </w:rPr>
        <w:t>pesos como remanente del saldo autorizado y no dispuesto en el ejercicio fiscal anterior.</w:t>
      </w:r>
    </w:p>
    <w:p w:rsidR="00305062" w:rsidRPr="004B3AC1" w:rsidRDefault="00305062" w:rsidP="00937932">
      <w:pPr>
        <w:spacing w:before="100" w:beforeAutospacing="1" w:after="100" w:afterAutospacing="1" w:line="240" w:lineRule="auto"/>
        <w:jc w:val="both"/>
        <w:rPr>
          <w:rFonts w:ascii="Arial" w:hAnsi="Arial" w:cs="Arial"/>
          <w:i/>
          <w:sz w:val="24"/>
          <w:szCs w:val="24"/>
        </w:rPr>
      </w:pPr>
      <w:r w:rsidRPr="004B3AC1">
        <w:rPr>
          <w:rFonts w:ascii="Arial" w:hAnsi="Arial" w:cs="Arial"/>
          <w:bCs/>
          <w:i/>
          <w:sz w:val="24"/>
          <w:szCs w:val="24"/>
        </w:rPr>
        <w:t xml:space="preserve">Reestructura </w:t>
      </w:r>
      <w:r w:rsidR="007B2028" w:rsidRPr="004B3AC1">
        <w:rPr>
          <w:rFonts w:ascii="Arial" w:hAnsi="Arial" w:cs="Arial"/>
          <w:bCs/>
          <w:i/>
          <w:sz w:val="24"/>
          <w:szCs w:val="24"/>
        </w:rPr>
        <w:t xml:space="preserve">o refinanciamiento </w:t>
      </w:r>
      <w:r w:rsidRPr="004B3AC1">
        <w:rPr>
          <w:rFonts w:ascii="Arial" w:hAnsi="Arial" w:cs="Arial"/>
          <w:bCs/>
          <w:i/>
          <w:sz w:val="24"/>
          <w:szCs w:val="24"/>
        </w:rPr>
        <w:t>de los financiamientos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Atendiendo a la necesidad de eficientar la aplicación de los recursos del Estado, se propone la reestructura o refinanciamiento, según corresponda para los cinco financiamientos que actualmente tiene el Gobierno del Estado: A31-1016102, 392/2011, P31-0413037, P31-1113143, P31-1217118.</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La reestructuración implicaría la celebración de actos jurídicos que tengan por objeto modificar las condiciones originalmente pactadas en un </w:t>
      </w:r>
      <w:r w:rsidR="00857138" w:rsidRPr="004B3AC1">
        <w:rPr>
          <w:rFonts w:ascii="Arial" w:hAnsi="Arial" w:cs="Arial"/>
          <w:sz w:val="24"/>
          <w:szCs w:val="24"/>
        </w:rPr>
        <w:t>f</w:t>
      </w:r>
      <w:r w:rsidRPr="004B3AC1">
        <w:rPr>
          <w:rFonts w:ascii="Arial" w:hAnsi="Arial" w:cs="Arial"/>
          <w:sz w:val="24"/>
          <w:szCs w:val="24"/>
        </w:rPr>
        <w:t xml:space="preserve">inanciamiento, y el refinanciamiento la contratación de uno o varios </w:t>
      </w:r>
      <w:r w:rsidR="00857138" w:rsidRPr="004B3AC1">
        <w:rPr>
          <w:rFonts w:ascii="Arial" w:hAnsi="Arial" w:cs="Arial"/>
          <w:sz w:val="24"/>
          <w:szCs w:val="24"/>
        </w:rPr>
        <w:t>f</w:t>
      </w:r>
      <w:r w:rsidRPr="004B3AC1">
        <w:rPr>
          <w:rFonts w:ascii="Arial" w:hAnsi="Arial" w:cs="Arial"/>
          <w:sz w:val="24"/>
          <w:szCs w:val="24"/>
        </w:rPr>
        <w:t xml:space="preserve">inanciamientos cuyos recursos se destinen a liquidar total o parcialmente uno o más </w:t>
      </w:r>
      <w:r w:rsidR="00857138" w:rsidRPr="004B3AC1">
        <w:rPr>
          <w:rFonts w:ascii="Arial" w:hAnsi="Arial" w:cs="Arial"/>
          <w:sz w:val="24"/>
          <w:szCs w:val="24"/>
        </w:rPr>
        <w:t>financiamientos</w:t>
      </w:r>
      <w:r w:rsidRPr="004B3AC1">
        <w:rPr>
          <w:rFonts w:ascii="Arial" w:hAnsi="Arial" w:cs="Arial"/>
          <w:sz w:val="24"/>
          <w:szCs w:val="24"/>
        </w:rPr>
        <w:t xml:space="preserve"> previamente contratados, conforme lo establece la Ley de Disciplina Financiera de las Entidades Federativas y los Municipios.</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La definición de una u otra se determinará por cada financiamiento y atendiendo a los resultados de los procesos competitivos que se realicen para determinar las mejores condiciones para el Gobierno del </w:t>
      </w:r>
      <w:r w:rsidR="00857138" w:rsidRPr="004B3AC1">
        <w:rPr>
          <w:rFonts w:ascii="Arial" w:hAnsi="Arial" w:cs="Arial"/>
          <w:sz w:val="24"/>
          <w:szCs w:val="24"/>
        </w:rPr>
        <w:t>e</w:t>
      </w:r>
      <w:r w:rsidRPr="004B3AC1">
        <w:rPr>
          <w:rFonts w:ascii="Arial" w:hAnsi="Arial" w:cs="Arial"/>
          <w:sz w:val="24"/>
          <w:szCs w:val="24"/>
        </w:rPr>
        <w:t>stado.</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A su vez, cualquiera de las figuras podría impactar en </w:t>
      </w:r>
      <w:r w:rsidR="00EF3B68" w:rsidRPr="004B3AC1">
        <w:rPr>
          <w:rFonts w:ascii="Arial" w:hAnsi="Arial" w:cs="Arial"/>
          <w:sz w:val="24"/>
          <w:szCs w:val="24"/>
        </w:rPr>
        <w:t>la estimación de amortizaciones y costo de la deuda, cuestión que será informada en los informes trimestrales y la Cuenta Pública del ejercicio fiscal 2020.</w:t>
      </w:r>
    </w:p>
    <w:p w:rsidR="002C3062" w:rsidRPr="004B3AC1" w:rsidRDefault="002C3062"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Finalmente, en el caso de operaciones de reestructura, se podrá pactar la modificación de las condiciones originales de contratación, incluyendo: perfil de amortización, ampliación del plazo de pago, tasa aplicable, adecuación de condiciones de hacer o no hacer, reducción de comisiones o gastos y liberación de garantías</w:t>
      </w:r>
    </w:p>
    <w:p w:rsidR="00EF3B68" w:rsidRPr="004B3AC1" w:rsidRDefault="00EF3B68" w:rsidP="00937932">
      <w:pPr>
        <w:spacing w:before="100" w:beforeAutospacing="1" w:after="100" w:afterAutospacing="1" w:line="240" w:lineRule="auto"/>
        <w:jc w:val="both"/>
        <w:rPr>
          <w:rFonts w:ascii="Arial" w:hAnsi="Arial" w:cs="Arial"/>
          <w:bCs/>
          <w:i/>
          <w:sz w:val="24"/>
          <w:szCs w:val="24"/>
        </w:rPr>
      </w:pPr>
      <w:r w:rsidRPr="004B3AC1">
        <w:rPr>
          <w:rFonts w:ascii="Arial" w:hAnsi="Arial" w:cs="Arial"/>
          <w:bCs/>
          <w:i/>
          <w:sz w:val="24"/>
          <w:szCs w:val="24"/>
        </w:rPr>
        <w:t>Deuda conti</w:t>
      </w:r>
      <w:r w:rsidR="00AD2AFC" w:rsidRPr="004B3AC1">
        <w:rPr>
          <w:rFonts w:ascii="Arial" w:hAnsi="Arial" w:cs="Arial"/>
          <w:bCs/>
          <w:i/>
          <w:sz w:val="24"/>
          <w:szCs w:val="24"/>
        </w:rPr>
        <w:t>ngente</w:t>
      </w:r>
    </w:p>
    <w:p w:rsidR="00EA6EC1" w:rsidRPr="004B3AC1" w:rsidRDefault="00EA6EC1"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Finalmente</w:t>
      </w:r>
      <w:r w:rsidR="002C3062" w:rsidRPr="004B3AC1">
        <w:rPr>
          <w:rFonts w:ascii="Arial" w:hAnsi="Arial" w:cs="Arial"/>
          <w:sz w:val="24"/>
          <w:szCs w:val="24"/>
        </w:rPr>
        <w:t>,</w:t>
      </w:r>
      <w:r w:rsidRPr="004B3AC1">
        <w:rPr>
          <w:rFonts w:ascii="Arial" w:hAnsi="Arial" w:cs="Arial"/>
          <w:sz w:val="24"/>
          <w:szCs w:val="24"/>
        </w:rPr>
        <w:t xml:space="preserve"> respecto al saldo total de la deuda contingente derivada de proyectos de inversión a largo plazo, se manifiesta que no se presenta en la Ley de Ingresos </w:t>
      </w:r>
      <w:r w:rsidR="005F4AA0" w:rsidRPr="004B3AC1">
        <w:rPr>
          <w:rFonts w:ascii="Arial" w:hAnsi="Arial" w:cs="Arial"/>
          <w:sz w:val="24"/>
          <w:szCs w:val="24"/>
        </w:rPr>
        <w:t xml:space="preserve">del Estado de Yucatán </w:t>
      </w:r>
      <w:r w:rsidRPr="004B3AC1">
        <w:rPr>
          <w:rFonts w:ascii="Arial" w:hAnsi="Arial" w:cs="Arial"/>
          <w:sz w:val="24"/>
          <w:szCs w:val="24"/>
        </w:rPr>
        <w:t>para el Ejercicio Fiscal 2020, por no tener información que presentar.</w:t>
      </w:r>
    </w:p>
    <w:p w:rsidR="00874296" w:rsidRPr="004B3AC1" w:rsidRDefault="00874296"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5F4AA0" w:rsidRPr="004B3AC1" w:rsidRDefault="005F4AA0" w:rsidP="005F4AA0">
      <w:pPr>
        <w:spacing w:before="100" w:beforeAutospacing="1" w:after="100" w:afterAutospacing="1" w:line="240" w:lineRule="auto"/>
        <w:jc w:val="center"/>
        <w:rPr>
          <w:rFonts w:ascii="Arial" w:hAnsi="Arial" w:cs="Arial"/>
          <w:b/>
          <w:bCs/>
          <w:sz w:val="24"/>
          <w:szCs w:val="24"/>
          <w:lang w:val="es-ES"/>
        </w:rPr>
      </w:pPr>
      <w:r w:rsidRPr="004B3AC1">
        <w:rPr>
          <w:rFonts w:ascii="Arial" w:hAnsi="Arial" w:cs="Arial"/>
          <w:b/>
          <w:bCs/>
          <w:sz w:val="24"/>
          <w:szCs w:val="24"/>
          <w:lang w:val="es-ES"/>
        </w:rPr>
        <w:t xml:space="preserve">Iniciativa para expedir la Ley de Ingresos </w:t>
      </w:r>
      <w:r w:rsidRPr="004B3AC1">
        <w:rPr>
          <w:rFonts w:ascii="Arial" w:hAnsi="Arial" w:cs="Arial"/>
          <w:b/>
          <w:sz w:val="24"/>
          <w:szCs w:val="24"/>
        </w:rPr>
        <w:t xml:space="preserve">del Estado de Yucatán </w:t>
      </w:r>
      <w:r w:rsidRPr="004B3AC1">
        <w:rPr>
          <w:rFonts w:ascii="Arial" w:hAnsi="Arial" w:cs="Arial"/>
          <w:b/>
          <w:bCs/>
          <w:sz w:val="24"/>
          <w:szCs w:val="24"/>
          <w:lang w:val="es-ES"/>
        </w:rPr>
        <w:t>para el Ejercicio Fiscal 2020</w:t>
      </w:r>
    </w:p>
    <w:p w:rsidR="00840B27" w:rsidRPr="004B3AC1" w:rsidRDefault="00840B27" w:rsidP="005F4AA0">
      <w:pPr>
        <w:spacing w:before="100" w:beforeAutospacing="1" w:after="100" w:afterAutospacing="1" w:line="240" w:lineRule="auto"/>
        <w:jc w:val="both"/>
        <w:rPr>
          <w:rFonts w:ascii="Arial" w:hAnsi="Arial" w:cs="Arial"/>
          <w:bCs/>
          <w:sz w:val="24"/>
          <w:szCs w:val="24"/>
          <w:lang w:val="es-ES"/>
        </w:rPr>
      </w:pPr>
      <w:r w:rsidRPr="004B3AC1">
        <w:rPr>
          <w:rFonts w:ascii="Arial" w:hAnsi="Arial" w:cs="Arial"/>
          <w:b/>
          <w:sz w:val="24"/>
          <w:szCs w:val="24"/>
        </w:rPr>
        <w:t xml:space="preserve">Artículo único. </w:t>
      </w:r>
      <w:r w:rsidRPr="004B3AC1">
        <w:rPr>
          <w:rFonts w:ascii="Arial" w:hAnsi="Arial" w:cs="Arial"/>
          <w:sz w:val="24"/>
          <w:szCs w:val="24"/>
        </w:rPr>
        <w:t xml:space="preserve">Se expide la </w:t>
      </w:r>
      <w:r w:rsidR="005F4AA0" w:rsidRPr="004B3AC1">
        <w:rPr>
          <w:rFonts w:ascii="Arial" w:hAnsi="Arial" w:cs="Arial"/>
          <w:bCs/>
          <w:sz w:val="24"/>
          <w:szCs w:val="24"/>
          <w:lang w:val="es-ES"/>
        </w:rPr>
        <w:t xml:space="preserve">Ley de Ingresos </w:t>
      </w:r>
      <w:r w:rsidR="005F4AA0" w:rsidRPr="004B3AC1">
        <w:rPr>
          <w:rFonts w:ascii="Arial" w:hAnsi="Arial" w:cs="Arial"/>
          <w:sz w:val="24"/>
          <w:szCs w:val="24"/>
        </w:rPr>
        <w:t xml:space="preserve">del Estado de Yucatán </w:t>
      </w:r>
      <w:r w:rsidR="005F4AA0" w:rsidRPr="004B3AC1">
        <w:rPr>
          <w:rFonts w:ascii="Arial" w:hAnsi="Arial" w:cs="Arial"/>
          <w:bCs/>
          <w:sz w:val="24"/>
          <w:szCs w:val="24"/>
          <w:lang w:val="es-ES"/>
        </w:rPr>
        <w:t>para el Ejercicio Fiscal 2020</w:t>
      </w:r>
      <w:r w:rsidRPr="004B3AC1">
        <w:rPr>
          <w:rFonts w:ascii="Arial" w:hAnsi="Arial" w:cs="Arial"/>
          <w:sz w:val="24"/>
          <w:szCs w:val="24"/>
        </w:rPr>
        <w:t>.</w:t>
      </w:r>
    </w:p>
    <w:p w:rsidR="00282B00" w:rsidRPr="004B3AC1" w:rsidRDefault="00282B00" w:rsidP="00937932">
      <w:pPr>
        <w:spacing w:before="100" w:beforeAutospacing="1" w:after="100" w:afterAutospacing="1" w:line="240" w:lineRule="auto"/>
        <w:jc w:val="center"/>
        <w:rPr>
          <w:rFonts w:ascii="Arial" w:hAnsi="Arial" w:cs="Arial"/>
          <w:b/>
          <w:sz w:val="24"/>
          <w:szCs w:val="24"/>
        </w:rPr>
      </w:pPr>
      <w:r w:rsidRPr="004B3AC1">
        <w:rPr>
          <w:rFonts w:ascii="Arial" w:hAnsi="Arial" w:cs="Arial"/>
          <w:b/>
          <w:sz w:val="24"/>
          <w:szCs w:val="24"/>
        </w:rPr>
        <w:t>Capítulo I</w:t>
      </w:r>
      <w:r w:rsidRPr="004B3AC1">
        <w:rPr>
          <w:rFonts w:ascii="Arial" w:hAnsi="Arial" w:cs="Arial"/>
          <w:b/>
          <w:sz w:val="24"/>
          <w:szCs w:val="24"/>
        </w:rPr>
        <w:br/>
        <w:t>Ingresos</w:t>
      </w:r>
    </w:p>
    <w:p w:rsidR="00282B00" w:rsidRPr="004B3AC1" w:rsidRDefault="00282B00" w:rsidP="0093793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Artículo 1. Objeto</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Esta ley tiene por objeto establecer los ingresos que percibirá el Estado de Yucatán durante el ejercicio fiscal comprendido del 1 de enero de 2020 al 31 de diciembre de 2020, </w:t>
      </w:r>
      <w:r w:rsidR="00D02E9C" w:rsidRPr="004B3AC1">
        <w:rPr>
          <w:rFonts w:ascii="Arial" w:hAnsi="Arial" w:cs="Arial"/>
          <w:sz w:val="24"/>
          <w:szCs w:val="24"/>
        </w:rPr>
        <w:t xml:space="preserve">y </w:t>
      </w:r>
      <w:r w:rsidRPr="004B3AC1">
        <w:rPr>
          <w:rFonts w:ascii="Arial" w:hAnsi="Arial" w:cs="Arial"/>
          <w:sz w:val="24"/>
          <w:szCs w:val="24"/>
        </w:rPr>
        <w:t>que permitan atender y financiar los gastos, las inversiones públicas, la organización y la prestación de servicios públicos, los proyectos estratégicos así como trabajar en el cumplimiento de las metas y objetivos del Plan Estatal de Desarrollo 2018-2024.</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Los ingresos referidos en el párrafo anterior se integrarán con los recursos provenientes de impuestos, </w:t>
      </w:r>
      <w:r w:rsidR="005973EF" w:rsidRPr="004B3AC1">
        <w:rPr>
          <w:rFonts w:ascii="Arial" w:hAnsi="Arial"/>
          <w:sz w:val="24"/>
        </w:rPr>
        <w:t>cuotas y aportaciones de seguridad social,</w:t>
      </w:r>
      <w:r w:rsidR="009215B7" w:rsidRPr="004B3AC1">
        <w:rPr>
          <w:rFonts w:ascii="Arial" w:hAnsi="Arial"/>
          <w:sz w:val="24"/>
        </w:rPr>
        <w:t xml:space="preserve"> </w:t>
      </w:r>
      <w:r w:rsidRPr="004B3AC1">
        <w:rPr>
          <w:rFonts w:ascii="Arial" w:hAnsi="Arial" w:cs="Arial"/>
          <w:sz w:val="24"/>
          <w:szCs w:val="24"/>
        </w:rPr>
        <w:t>derechos, productos, aprovechamientos, ingresos</w:t>
      </w:r>
      <w:r w:rsidR="009215B7" w:rsidRPr="004B3AC1">
        <w:rPr>
          <w:rFonts w:ascii="Arial" w:hAnsi="Arial" w:cs="Arial"/>
          <w:sz w:val="24"/>
          <w:szCs w:val="24"/>
        </w:rPr>
        <w:t xml:space="preserve"> </w:t>
      </w:r>
      <w:r w:rsidR="005973EF" w:rsidRPr="004B3AC1">
        <w:rPr>
          <w:rFonts w:ascii="Arial" w:hAnsi="Arial"/>
          <w:sz w:val="24"/>
        </w:rPr>
        <w:t xml:space="preserve">por venta de bienes y servicios, </w:t>
      </w:r>
      <w:r w:rsidR="005973EF" w:rsidRPr="004B3AC1">
        <w:rPr>
          <w:rFonts w:ascii="Arial" w:hAnsi="Arial" w:cs="Arial"/>
          <w:sz w:val="24"/>
          <w:szCs w:val="24"/>
        </w:rPr>
        <w:t>participaciones</w:t>
      </w:r>
      <w:r w:rsidR="005973EF" w:rsidRPr="004B3AC1">
        <w:rPr>
          <w:rFonts w:ascii="Arial" w:hAnsi="Arial"/>
          <w:sz w:val="24"/>
        </w:rPr>
        <w:t xml:space="preserve">, </w:t>
      </w:r>
      <w:r w:rsidRPr="004B3AC1">
        <w:rPr>
          <w:rFonts w:ascii="Arial" w:hAnsi="Arial" w:cs="Arial"/>
          <w:sz w:val="24"/>
          <w:szCs w:val="24"/>
        </w:rPr>
        <w:t>fondos de aportaciones federales</w:t>
      </w:r>
      <w:r w:rsidR="009215B7" w:rsidRPr="004B3AC1">
        <w:rPr>
          <w:rFonts w:ascii="Arial" w:hAnsi="Arial" w:cs="Arial"/>
          <w:sz w:val="24"/>
          <w:szCs w:val="24"/>
        </w:rPr>
        <w:t xml:space="preserve"> </w:t>
      </w:r>
      <w:r w:rsidR="005973EF" w:rsidRPr="004B3AC1">
        <w:rPr>
          <w:rFonts w:ascii="Arial" w:hAnsi="Arial"/>
          <w:sz w:val="24"/>
        </w:rPr>
        <w:t xml:space="preserve">e ingresos derivados de financiamientos </w:t>
      </w:r>
      <w:r w:rsidRPr="004B3AC1">
        <w:rPr>
          <w:rFonts w:ascii="Arial" w:hAnsi="Arial" w:cs="Arial"/>
          <w:sz w:val="24"/>
          <w:szCs w:val="24"/>
        </w:rPr>
        <w:t>que determinen esta ley y las demás leyes fiscales aplicables.</w:t>
      </w:r>
    </w:p>
    <w:p w:rsidR="00282B00" w:rsidRPr="004B3AC1" w:rsidRDefault="00282B00" w:rsidP="0093793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Artículo 2. Ingresos</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Los ingresos que el estado de Yucatán perciba durante el ejercicio fiscal 2020 serán los provenientes de los rubros, tipos y en las cantidades estimadas, que a continuación se enumeran:</w:t>
      </w:r>
    </w:p>
    <w:p w:rsidR="00282B00" w:rsidRPr="004B3AC1" w:rsidRDefault="00282B00" w:rsidP="00034757">
      <w:pPr>
        <w:spacing w:after="0" w:line="0" w:lineRule="atLeast"/>
        <w:jc w:val="center"/>
        <w:rPr>
          <w:rFonts w:ascii="Arial" w:hAnsi="Arial" w:cs="Arial"/>
          <w:b/>
          <w:sz w:val="24"/>
          <w:szCs w:val="24"/>
        </w:rPr>
      </w:pPr>
      <w:r w:rsidRPr="004B3AC1">
        <w:rPr>
          <w:rFonts w:ascii="Arial" w:hAnsi="Arial" w:cs="Arial"/>
          <w:b/>
          <w:sz w:val="24"/>
          <w:szCs w:val="24"/>
        </w:rPr>
        <w:t>Tabla. 1 Clasificador por rubro de ingresos</w:t>
      </w:r>
    </w:p>
    <w:p w:rsidR="00E3618E" w:rsidRPr="004B3AC1" w:rsidRDefault="00E3618E" w:rsidP="00034757">
      <w:pPr>
        <w:spacing w:after="0" w:line="0" w:lineRule="atLeast"/>
        <w:jc w:val="center"/>
        <w:rPr>
          <w:rFonts w:ascii="Arial" w:hAnsi="Arial" w:cs="Arial"/>
          <w:b/>
          <w:sz w:val="24"/>
          <w:szCs w:val="24"/>
        </w:rPr>
      </w:pPr>
    </w:p>
    <w:p w:rsidR="00E3618E" w:rsidRPr="004B3AC1" w:rsidRDefault="007A796A" w:rsidP="00034757">
      <w:pPr>
        <w:spacing w:after="0" w:line="0" w:lineRule="atLeast"/>
        <w:jc w:val="center"/>
        <w:rPr>
          <w:sz w:val="20"/>
          <w:szCs w:val="20"/>
          <w:lang w:eastAsia="es-MX"/>
        </w:rPr>
      </w:pPr>
      <w:r w:rsidRPr="004B3AC1">
        <w:fldChar w:fldCharType="begin"/>
      </w:r>
      <w:r w:rsidR="00E3618E" w:rsidRPr="004B3AC1">
        <w:instrText xml:space="preserve"> LINK Excel.Sheet.12 "/Users/gabrielcauichcastilla/Library/Mobile Documents/com~apple~CloudDocs/S. Finanzas/1 2020 Presupuesto 2020/1 LIEY 2020/2020 Ley Ingresos.xlsx" "Formato de ley!F4C1:F415C3" \a \f 4 \r </w:instrText>
      </w:r>
      <w:r w:rsidR="009215B7" w:rsidRPr="004B3AC1">
        <w:instrText xml:space="preserve"> \* MERGEFORMAT </w:instrText>
      </w:r>
      <w:r w:rsidRPr="004B3AC1">
        <w:fldChar w:fldCharType="separate"/>
      </w:r>
    </w:p>
    <w:tbl>
      <w:tblPr>
        <w:tblW w:w="9500" w:type="dxa"/>
        <w:tblInd w:w="40" w:type="dxa"/>
        <w:tblLayout w:type="fixed"/>
        <w:tblCellMar>
          <w:left w:w="70" w:type="dxa"/>
          <w:right w:w="70" w:type="dxa"/>
        </w:tblCellMar>
        <w:tblLook w:val="0000" w:firstRow="0" w:lastRow="0" w:firstColumn="0" w:lastColumn="0" w:noHBand="0" w:noVBand="0"/>
      </w:tblPr>
      <w:tblGrid>
        <w:gridCol w:w="940"/>
        <w:gridCol w:w="6480"/>
        <w:gridCol w:w="2080"/>
      </w:tblGrid>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Total</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44,189,647,866.00</w:t>
            </w:r>
          </w:p>
        </w:tc>
      </w:tr>
      <w:tr w:rsidR="00E3618E" w:rsidRPr="004B3AC1" w:rsidTr="00713325">
        <w:trPr>
          <w:trHeight w:val="260"/>
        </w:trPr>
        <w:tc>
          <w:tcPr>
            <w:tcW w:w="7420" w:type="dxa"/>
            <w:gridSpan w:val="2"/>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Ingresos del Gobierno Estatal (1 + 3 + 4 + 5 + 6 + 8 + 9)</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39,168,944,020.00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Impuestos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2,239,518,517.00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sobre los Ingresos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254,808,275.00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Sobre loterías, rifas, sorteos, concursos y juegos con cruce de apuestas legalmente permitidos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96,759,994.00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Sobre el ejercicio profesional</w:t>
            </w:r>
          </w:p>
        </w:tc>
        <w:tc>
          <w:tcPr>
            <w:tcW w:w="2080" w:type="dxa"/>
            <w:tcBorders>
              <w:top w:val="nil"/>
              <w:left w:val="nil"/>
              <w:bottom w:val="nil"/>
              <w:right w:val="nil"/>
            </w:tcBorders>
          </w:tcPr>
          <w:p w:rsidR="00E3618E" w:rsidRPr="004B3AC1" w:rsidRDefault="00716295"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19,537,952</w:t>
            </w:r>
            <w:r w:rsidR="00E3618E" w:rsidRPr="004B3AC1">
              <w:rPr>
                <w:rFonts w:eastAsiaTheme="minorEastAsia" w:cs="Barlow"/>
                <w:color w:val="000000"/>
                <w:sz w:val="18"/>
                <w:szCs w:val="18"/>
                <w:lang w:eastAsia="es-MX"/>
              </w:rPr>
              <w:t>.00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Cedular sobre la obtención de ingresos por activi</w:t>
            </w:r>
            <w:r w:rsidR="003B079C" w:rsidRPr="004B3AC1">
              <w:rPr>
                <w:rFonts w:eastAsiaTheme="minorEastAsia" w:cs="Barlow"/>
                <w:color w:val="000000"/>
                <w:sz w:val="18"/>
                <w:szCs w:val="18"/>
                <w:lang w:eastAsia="es-MX"/>
              </w:rPr>
              <w:t>dades empresariales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68,502,417.00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Cedular por la </w:t>
            </w:r>
            <w:r w:rsidR="003B079C" w:rsidRPr="004B3AC1">
              <w:rPr>
                <w:rFonts w:eastAsiaTheme="minorEastAsia" w:cs="Barlow"/>
                <w:color w:val="000000"/>
                <w:sz w:val="18"/>
                <w:szCs w:val="18"/>
                <w:lang w:eastAsia="es-MX"/>
              </w:rPr>
              <w:t>enajenación de bienes inmuebles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70,007,912.00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 sobre el patrimonio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Sobre Tenencia o Uso de Vehículos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 sobre la producción, el consumo y las transacciones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554,891,902.00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 por servicios de hospedaje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64,378,784.00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Sobre enajenación de vehículos usados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20,800,262.00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Adicional para la ejecución de obras materiales y asistencia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224,944,631.00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 a las erogaciones en juegos y concursos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230,201,649.00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Del Impuesto a Casas de Empeño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275,613.00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1.3.6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 la venta final de b</w:t>
            </w:r>
            <w:r w:rsidR="003B079C" w:rsidRPr="004B3AC1">
              <w:rPr>
                <w:rFonts w:eastAsiaTheme="minorEastAsia" w:cs="Barlow"/>
                <w:color w:val="000000"/>
                <w:sz w:val="18"/>
                <w:szCs w:val="18"/>
                <w:lang w:eastAsia="es-MX"/>
              </w:rPr>
              <w:t>ebidas con contenido alcohólico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14,290,963.00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al comercio exterior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al comercio exterior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sobre Nóminas y Asimilables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1,417,385,386.00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Sobre erogaciones por remuneración al trabajo personal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1,417,385,386.00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ecológicos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1.6.1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ecológicos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Accesorios de Impuestos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12,102,954.00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1.7.1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Multas, recargos, gastos extraordinarios y otros accesorios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12,102,954.00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1.7.2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Indemnizaciones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impuestos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1.8.1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impuestos varios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no comprendidos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330,000.00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1.9.1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 so</w:t>
            </w:r>
            <w:r w:rsidR="003B079C" w:rsidRPr="004B3AC1">
              <w:rPr>
                <w:rFonts w:eastAsiaTheme="minorEastAsia" w:cs="Barlow"/>
                <w:color w:val="000000"/>
                <w:sz w:val="18"/>
                <w:szCs w:val="18"/>
                <w:lang w:eastAsia="es-MX"/>
              </w:rPr>
              <w:t>bre tenencia o uso de vehículos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330,000.00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Cuotas y Aportaciones de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1,359,594,933.00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Aportaciones para Fondos de Vivienda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Aportaciones para Fondos de Vivienda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Cuotas para la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1,359,594,933.00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Cuotas para la Seguridad Social de los Trabajadores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1,359,594,933.00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Cuotas de Ahorro para el Retiro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Cuotas de Ahorro para el Retiro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Otras Cuotas y Aportaciones para la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Otras Cuotas y Aportaciones para la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Accesorios de Cuotas y Aportaciones de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2.5.1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Accesorios de Cuotas y Aportaciones de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Contribuciones de Mejoras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Contribuciones de Mejoras por Obras Públicas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3.1.1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Otras contribuciones de mejoras por obras públicas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3.9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Contribuciones de Mejoras no comprendidas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3.9.1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Contribuciones de Mejoras no comprendidas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Derechos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2,365,054,206.00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por el uso, goce, aprovechamiento o explotación de bienes del dominio público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225,291.00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el uso, goce o aprovechamiento de bienes de dominio público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225,291.00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el uso de cementerios y prestación de servicios conexos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por prestación de servicios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2,364,365,389.00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Administración Pública en general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5,042,599.00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Secretaría de Seguridad Pública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773,466,923.00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Dotación, canje, reposición y baja de placas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438,498,121.00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Tarjetas de circulación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103,086,504.00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Expedición de licencias de manejo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88,729,517.00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servicios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4,553,128.00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Relacionados con vialidad de vehículos de carga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133,511,191.00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Relacionados con la policía auxiliar y la policía bancaria, industrial y comercial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4,021,726.00</w:t>
            </w:r>
          </w:p>
        </w:tc>
      </w:tr>
      <w:tr w:rsidR="00E3618E" w:rsidRPr="004B3AC1" w:rsidTr="00E3618E">
        <w:trPr>
          <w:trHeight w:val="104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534,594.00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4.3.2.8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Seguridad Privada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532,142.00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por los servicios que presta la Consejería Jurídica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50,741,905.00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Dirección del Registro Civil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45,335,010.00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Diario Oficial del Gobierno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2,435,370.00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Dirección de Contratos, Licitaciones y Procedimientos.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1,078,573.00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Dirección del Archivo Notarial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1,892,952.00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el Instituto de Seguridad Jurídica Patrimonial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273,037,050.00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Dirección del Registro Público de la Propiedad y del Comercio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166,493,958.00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4.3.4.2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prestan los Fedatarios a quienes el Estado les haya concedido Fe Pública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99,409,486.00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4.3.4.4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Dirección de Catastro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7,133,606.00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Fiscalía General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5,683,185.00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Secretaría de Educación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6,129,889.00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Secretaría de Desarrollo Sustentable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5,561,806.00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Secretaría de Salud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77,454,976.00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la Unidad Estatal de Protección Civil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1,341,780.00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el Patronato de las Unidades de Servicios Culturales y Turísticos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715,300,801.00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que presta el Instituto de Movilidad y Desarrollo Urbano Territorial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7,421,665.00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 a la información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36,886.00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los servicios de inspección, control y fiscalización que realiza la Secretaría de la Contraloría General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2,554,042.00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los servicios de supervisión, vigilancia y registro de máquinas de juegos y apuestas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61,513,145.00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los servicios que presta el Poder Judicial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los servicios de permiso, registro y supervisión para la instalación y operación de casas de empeño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420,363.00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Por los servicios que presta la Secretaría de Investigación (SIIES)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16,108,452.00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para la preservación y restauración del equilibrio ecológico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79,732,800.00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4.3.19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por los servicios de Infraestructura en Materia de Seguridad Pública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282,817,121.00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Derechos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Derechos no contemplados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Accesorios de Derechos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463,526.00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Multas, recargos, gastos extraordinarios y otros accesorios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463,5</w:t>
            </w:r>
            <w:r w:rsidR="004B673A" w:rsidRPr="004B3AC1">
              <w:rPr>
                <w:rFonts w:eastAsiaTheme="minorEastAsia" w:cs="Barlow"/>
                <w:color w:val="000000"/>
                <w:sz w:val="18"/>
                <w:szCs w:val="18"/>
                <w:lang w:eastAsia="es-MX"/>
              </w:rPr>
              <w:t>2</w:t>
            </w:r>
            <w:r w:rsidRPr="004B3AC1">
              <w:rPr>
                <w:rFonts w:eastAsiaTheme="minorEastAsia" w:cs="Barlow"/>
                <w:color w:val="000000"/>
                <w:sz w:val="18"/>
                <w:szCs w:val="18"/>
                <w:lang w:eastAsia="es-MX"/>
              </w:rPr>
              <w:t>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4.5.2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Indemnizaciones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no comprendidos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4.9.1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no comprendidos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Productos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68,501,099.00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Productos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68,501,099.00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Uso, aprovechamiento o enajenación de bienes de dominio privado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2,716,500.00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Enajenación de bienes muebles no sujetos a ser inventariados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Accesorios de los Productos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Rendimientos de capitales y valores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65,784,599.00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Rendimientos Propios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65,784,599.00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5.1.4.2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Rendimientos Federales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productos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Productos no comprendidos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Productos no comprendidos en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Aprovechamientos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120,502,692.00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Aprovechamientos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118,560,844.00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Recargos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Indemnizaciones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30,231.00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Multas administrativas y multas impuestas por autoridades judiciales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79,615,163.00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aprovechamientos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38,915,449.00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Aprovechamientos Patrimoniales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Herencias, legados y donaciones que se hagan a favor del estado o instituciones que dependan de él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Accesorios de Aprovechamientos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1,941,847.00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Multas, recargos, gastos extraordinarios y otros accesorios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1,941,847.00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Indemnizaciones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Aprovechamientos no comprendidos en las fracciones de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6.9.1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Aprovechamientos no comprendidos en las fracciones de la Ley de Ingresos vigente, causadas en  ejercicios fiscales anteriores pendientes de liquidación o pago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Ingresos por ventas de bienes y servicios y otros ingresos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1,656,488,913.00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Instituciones Públicas de Seguridad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557,206,904.00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 por Venta de Bienes y Prestación de Servicios del Instituto de Seguridad Social de los Trabajadores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339,992,249.00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Aplicación de reservas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217,214,655.00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Empresas Productivas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de Empresas Productivas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Prestación de Servicios de Empresas Productivas del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Entidades Paraestatales y Fideicomisos No Empresariales y No Financieros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1,083,150,721.00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para el Desarrollo de la Cultura Maya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Comisión Ejecutiva de Atención a Victimas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para el Desarrollo y Certificación de la Infraestructura Física Educativa y Eléctrica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320,000.00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Infraestructura Carretera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Junta de Agua Potable y Alcantarillado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430,014,270.00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para la Construcción y Conservación de Obra Pública en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Vivienda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215,809,530.00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del Deporte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8,906,726.00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Colegio de Bachilleres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35,295,292.00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Colegio de Estudios Científicos y Tecnológicos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2,800,873.00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Colegio de Educación Profesional Técnica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12,000,000.00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Educación para Adultos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Becas y Crédito Educativo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Yucateco de Emprendedores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8,335,587.00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Casa de las Artesanías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12,522,545.00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Promotor de Ferias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74,484,997.00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Patronato de las Unidades de Servicios Culturales y Turísticos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50,480,783.00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Fideicomiso para el Desarrollo del Turismo de Reuniones en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41,706,636.00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Instituto de Movilidad y Desarrollo Urbano Territorial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Sistema para el Desarrollo Integral de la Familia en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15,436,841.00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Junta de Asistencia Privada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Régimen Estatal de Protección Social en Salud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Hospital General de Tekax</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780,000.00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Servicios de Salud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39,148,803.00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Administración del Patrimonio de la Beneficencia Pública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Hospital de la Amistad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24,155,165.00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7.3.29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Hospital Comunitario de Ticul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172,600.00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Hospital Comunitario de Peto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31,191,501.00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Centro Estatal de Trasplantes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Seguridad Jurídica Patrimonial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Fideicomiso Garante de la Orquesta Sinfónica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13,300,000.00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Historia y Museos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Secretaría Técnica de Planeación y Evaluación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Seguridad Social de los Trabajadores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Fideicomiso Público para la Administración de la Reserva Territorial de Ucú</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Escuela Superior de Artes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4,452,375.00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7.3.39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Tecnológica Metropolitana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22,757,539.00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Tecnológico Superior de Valladolid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6,199,189.00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Tecnológica del Centro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1,885,115.00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Tecnológica del Mayab</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1,418,705.00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Tecnológica del Poniente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572,134.00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Tecnológico Superior del Sur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3,239,962.00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Tecnológico Superior de Motul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3,800,000.00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Tecnológico Superior de Progreso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4,149,972.00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de Oriente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4,354,305.00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Tecnológica Regional del Sur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2,564,431.00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7.3.49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Politécnica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5,232,534.00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7.3.50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Agencia para el Desarrollo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de Capacitación para el Trabajo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1,843,075.00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7.3.52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Secretaría Ejecutiva del Sistema Estatal Anticorrupción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7.3.53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Fideicomiso Público para la Administración del Palacio de la Música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3,819,236.00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7.3.54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Instituto para la Inclusión de las Personas con Discapacidad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Entidades Paraestatales Empresariales No Financieras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16,131,288.00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7.4.2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Sistema Tele Yucatán S.A. de C.V.</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14,376,642.00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7.4.3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Aeropuerto de Chichén Itzá de Yucatán S. A. de C.V.</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1,754,646.00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7.4.4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Empresa Portuaria Yucateca S. A. de C.V.</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Entidades Paraestatales Empresariales Financieras Monetarias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Sistema Tele Yucatán, S.A. de C.V.</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7.5.2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del Aeropuerto de Chichén Itzá del Estado de Yucatán, S.A. de C.V.</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7.5.3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la Empresa Portuaria Yucateca, S.A. de C.V.</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Entidades Paraestatales Empresariales Financieras No Monetarias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7.6.1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de Entidades Paraestatales Empresariales Financieras No Monetarias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7.6.2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Prestación de Servicios de Entidades Paraestatales Empresariales Financieras No Monetarias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Fideicomisos Financieros Públicos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7.7.1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Prestación de Servicios de Fideicomisos Financieros Públicos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7.7.2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de Fideicomisos Financieros Públicos con Participación Estatal Mayoritaria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Ingresos por Venta de Bienes y Prestación de Servicios de los Poderes Legislativo y Judicial, y de los Órganos Autónomos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7.8.1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Autónoma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7.8.2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Tribunal de Justicia Administrativa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Ingresos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7.9.1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ingresos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Participaciones, Aportaciones, Convenios, Incentivos Derivados de la Colaboración Fiscal y Fondos Distintos de 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32,309,672,921.00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Participaciones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15,093,129,715.00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General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10,982,927,094.00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Fomento Municipal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963,679,696.00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Especial sobre Producción y Servicios (IEPS)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262,855,486.00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Compensación sobre Automóviles Nuevos (ISAN)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36,094,567.00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Fiscalización y Recaudación (FOFIR)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1,183,049,235.00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Compensación (Repecos e Intermedios)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16,402,904.00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Venta final de gasolina y diésel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467,042,670.00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ISR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1,181,078,063.00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8.1.8.1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ISR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1,106,524,841.00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8.1.8.2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Fondo ISR </w:t>
            </w:r>
            <w:r w:rsidR="004B673A" w:rsidRPr="004B3AC1">
              <w:rPr>
                <w:rFonts w:eastAsiaTheme="minorEastAsia" w:cs="Barlow"/>
                <w:color w:val="000000"/>
                <w:sz w:val="18"/>
                <w:szCs w:val="18"/>
                <w:lang w:eastAsia="es-MX"/>
              </w:rPr>
              <w:t>Municipios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74,553,222.00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Estabilización de los ingresos de las Entidades Federativas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Estabilización de los ingresos de las Entidades Federativas por Fondo General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8.1.9.2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Estabilización de los ingresos de las Entidades Federativas por Fondo de Fomento Municipal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8.1.9.3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Estabilización de los ingresos de las Entidades Federativas por Fondo de Fiscalización y Recaudación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13,542,171,293.00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la Nómina Educativa y Gasto Operativo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5,964,309,172.00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los Servicios de Salud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2,184,448,809.00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la infraestructura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1,877,866,073.00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la Infraestructura Social Municipales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1,650,245,350.00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la Infraestructura Social Estatal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227,620,723.00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el Fortalecimiento de los Municipios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1,511,457,108.00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Múltiples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762,295,257.00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Infraestructura Educativa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480,283,450.00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8.2.5.1.1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Infraestructura Educativa Básica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269,174,783.00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8.2.5.1.2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Infraestructura Educativa Superior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196,945,534.00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8.2.5.1.3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Infraestructura Educativa Media Superior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14,163,133.00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8.2.5.2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Asistencia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282,011,807.00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la Educación Tecnológica y de Adultos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197,128,479.00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8.2.6.1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Educación Tecnológica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115,084,851.00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8.2.6.2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Educación de Adultos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82,043,628.00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la Seguridad Pública de los Estados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169,057,752.00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8.2.8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Aportaciones para el Fortalecimiento de las Entidades Federativas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875,608,643.00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3,002,784,122.00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Salud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965,576,573.00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Seguro Popular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767,790,993.00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Específico CRE</w:t>
            </w:r>
            <w:r w:rsidR="004B673A" w:rsidRPr="004B3AC1">
              <w:rPr>
                <w:rFonts w:eastAsiaTheme="minorEastAsia" w:cs="Barlow"/>
                <w:color w:val="000000"/>
                <w:sz w:val="18"/>
                <w:szCs w:val="18"/>
                <w:lang w:eastAsia="es-MX"/>
              </w:rPr>
              <w:t>S</w:t>
            </w:r>
            <w:r w:rsidRPr="004B3AC1">
              <w:rPr>
                <w:rFonts w:eastAsiaTheme="minorEastAsia" w:cs="Barlow"/>
                <w:color w:val="000000"/>
                <w:sz w:val="18"/>
                <w:szCs w:val="18"/>
                <w:lang w:eastAsia="es-MX"/>
              </w:rPr>
              <w:t>CA ConadicCenadicYuc 001</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1,528,590.00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Protección contra riesgos catastróficos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37,260,000.00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Seguro Médico XXI</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10,147,224.00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Acuerdo para el Fortalecimiento de las Acciones de Salud Pública en los Estados (AFASPE)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49,250,780.00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Fortalecimiento a la atención médica (Caravanas)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6,936,203.00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Acciones de Prospera Programa de Inclusión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Comisión Federal para la Protección contra riesgos Sanitarios (COFEPRIS)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3,219,794.00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Estrategia Integral de Desarrollo Comunitario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Apoyo a las Instancias de Mujeres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8,123,307.00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Programa de Fortalecimiento a la Transversalidad de la </w:t>
            </w:r>
            <w:r w:rsidR="004B673A" w:rsidRPr="004B3AC1">
              <w:rPr>
                <w:rFonts w:eastAsiaTheme="minorEastAsia" w:cs="Barlow"/>
                <w:color w:val="000000"/>
                <w:sz w:val="18"/>
                <w:szCs w:val="18"/>
                <w:lang w:eastAsia="es-MX"/>
              </w:rPr>
              <w:t>Perspectiva</w:t>
            </w:r>
            <w:r w:rsidRPr="004B3AC1">
              <w:rPr>
                <w:rFonts w:eastAsiaTheme="minorEastAsia" w:cs="Barlow"/>
                <w:color w:val="000000"/>
                <w:sz w:val="18"/>
                <w:szCs w:val="18"/>
                <w:lang w:eastAsia="es-MX"/>
              </w:rPr>
              <w:t xml:space="preserve"> de Género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11,333,907.00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Apoyo para Fortalecer la Calidad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para el Fortalecimiento de los Servicios de Salud a través del REPSSY</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Calidad en la Atención Médica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Atención a la Salud y Medicamentos Gratuitos para la población sin Seguridad Social Laboral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68,273,775.00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Atención a personas con Discapacidad "Equipamiento"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1,712,000.00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8.3.1.1</w:t>
            </w:r>
            <w:r w:rsidR="004B673A" w:rsidRPr="004B3AC1">
              <w:rPr>
                <w:rFonts w:eastAsiaTheme="minorEastAsia" w:cs="Barlow"/>
                <w:color w:val="000000"/>
                <w:sz w:val="18"/>
                <w:szCs w:val="18"/>
                <w:lang w:eastAsia="es-MX"/>
              </w:rPr>
              <w:t>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Educación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1,838,706,937.00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Sistema Mexicano del Deporte de Alto Rendimiento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Coordinación y Colaboración (CONADE)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31,050.00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U080 Apoyos a centros y organizaciones de educación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1,079,097,233.00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Gastos de  operación para el Colegio de Estudios Científicos y Tecnológicos de Yucatán (CECYTEY)</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65,971,097.00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Colegio de Bachilleres de Yucatán (COBAY)</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294,862,406.00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Nacional de Becas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1,735,275.00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Atención a la Demanda (IEAEY)</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14,914,543.00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Apoyos Financieros a la Universidad de Oriente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15,490,122.00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Apoyos Financieros para la Universidad Tecnológica Metropolitana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54,265,212.00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Apoyos Financieros para la Universidad Tecnológica Regional del Sur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17,842,298.00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Apoyos Financieros para la Universidad Tecnológica del Centro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10,930,598.00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Apoyos Financieros para la Universidad Tecnológica del Poniente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10,650,969.00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Apoyos Financieros para la Universidad Tecnológica del Mayab</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11,579,086.00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Coordinación para la Creación, Operación y Apoyo Financiero de los Institutos Tecnológicos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Mejoramiento del Profesorado (PROMEP)</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Cultura Física y Deporte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Desarrollo Cultural Infantil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640,000.00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Unidad Regional de Culturas Populares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8.3.2.19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Certificado de Infraestructura Educativa Nacional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Escuelas de Tiempo Completo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101,612,665.00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Nacional de Inglés en la Educación Básica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14,593,808.00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Integral de Fortalecimiento Institucional (PIFI)</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 Financiero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para ampliar y diversificar la Oferta Educativa en Educación Superior (FADOE)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Apoyo Financiero para el Programa de Carrera Docente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15,009,009.00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expansión de la oferta educativa en la educación Media Superior y Superior (PROEXOEES)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Nacional de Fomento a la Lectura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Estímulo a la Creación y al Desarrollo Artístico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8.3.2.29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Apoyo a las Culturas Municipales y Comunitarias PACMYC</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2,464,436.00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Desarrollo Cultural Municipal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Programas de Fondo Concursable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Coordinación para la creación, operación y apoyo financiero del ICATY</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5,128,620.00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para fortalecer la Autonomía de la Gestión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Fortalecimiento  de Calidad Educativa tipo básico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2,340,957.00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Fortalecimiento de la Calidad en Instituciones Educativas (PROFOCIE)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CONACYT (Convenio de Colaboración para el desarrollo del programa de estímulos a la investigación de desarrollos)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Beca de Apoyo a la Práctica Intensiva y al servicio social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C-291045.82/2016 Formación Temprana de Científicos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8.3.2.39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Institucional de Fomento Regional para el Desarrollo Científico, Tecnológico y de Innovación (FORDECYT)</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3,105,000.00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Fortalecimiento de la Calidad Educativa (PACTEN)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9,670,158.00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 solidario para la operación de la Universidad Politécnica del Estado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4,218,838.00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Inclusión y Equidad Educativa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5,772,388.00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para la Operación del Programa Expansión de la Educación Inicial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7,533,711.00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la Reforma Educativa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784,312.00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Apoyo Financiero del Servicios Educativo Denominado Telebachillerato Comunitario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61,584,612.00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para el Desarrollo Profesional Docente para la Educación Básica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4,636,579.00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nacional convivencia escolar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2,368,083.00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Fortalecimiento de la Excelencia Educativa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18,573,872.00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8.3.2.49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Económico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35,000,000.00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Nacional del Empleo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Incubación de Empresas de Tecnología de Información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8.3.3.3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para el Desarrollo de la Industria del Software (PROSOFT)</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Colaboración de Apoyos del Fondo Nacional Emprendedor</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35,000,000.00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Social y Humano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58,268,589.00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Proagua Agua Limpia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415,251.00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Cultura del Agua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621,000.00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Desarrollo Integral para Organismos Operadores (PRODI)</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Consolidación de Reservas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Apoyo a la Vivienda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Esquemas de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Infraestructura Indígena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Apoyo al Empleo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Fortalecimiento de Instancias Estatales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Espacios Poder Joven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Red Nacional del Programa de Radio y Televisión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3 x 1 Migrantes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ACCESO AL FINANCIAMIENTO PARA SOLUCIONES HABITACIONALES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desarrollo integral de las comunidades indígenas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Proagua Rural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56,732,338.00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Apartado Urbano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8.3.4.17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Seguridad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72,970,012.00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Nacional de Prevención al Delito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8.3.5.2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Subsidio para la Implementación de la Reforma del Sistema de Justicia Penal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8.3.5.3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Fortaseg</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72,970,012.00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8.3.5.4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Buen Gobierno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3,958,229.00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Armonización Contable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Modernización Integral del Registro Civil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1,629,480.00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Modernización y Vinculación Registral y Catastral del padrón Inmobiliario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2,328,749.00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Desarrollo Regional Turístico Sustentable y Pueblos Mágicos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Agua Potable Drenaje y Tratamiento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Infraestructura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8.3.6.7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Ramo 23</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7,813,498.00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Accesibilidad para personas con Discapacidad</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7,813,498.00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Zona Metropolitana de Yucatán (COME)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Regional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Nacional de Infraestructura (FONADIN)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Proyecto de Desarrollo Regional (Zona Henequenera)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Cultura (Instituciones Estatales de Cultura)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Colaboración para el Desarrollo del Programa de Estímulos a la Inversión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 de Fortalecimiento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Proyectos de Cultura (PEF)</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5% Museos o Zonas  Arqueológicas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Subsidios para Contingencias Económicas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Fideicomiso para la Infraestructura de los Estados (FIES)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infraestructura en su vertiente ampliación mejoramiento de a la vivienda de la SEDATU</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8.3.7.14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Comunicación y Transporte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8.3.8.1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Conservación y Estudios y Proyectos de Caminos Rurales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8.3.8.2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Agricultura, Ganadería, Desarrollo Rural, Pesca y Alimentación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20,490,284.00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Concurrencia con Entidades Federativas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Extensionismo e Innovación Productiva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Conservación y Uso Sustentable de Suelo (COUSSA)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Proyecto Estratégico de Seguridad Alimentaria (PESA)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Sanidad e Inocuidad Alimentaria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Impulso a la Capitalización Pesquera y Acuícola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Componente de Atención a Desastres Naturales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19,138,864.00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de Acuacultura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Información estadística y estudios (SNIDRUS)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Convenio de Coordinación SEMARNAT</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Programa rehabilitación modernización tecnificada y equipamiento de unidades de riego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Prevención, Combate y Control de Incendios Forestales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1,351,420.00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8.3.9.13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Convenios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Incentivos Derivados de la Colaboración Fiscal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671,587,791.00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Incentivos por colaboración Administrativa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671,587,791.00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Impuestos Federales Administrados por el Estado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194,696,924.00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 Impuestos sobre tenencia o uso de vehículos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b)Impuesto sobre automóviles nuevos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137,142,266.00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c) Impuesto Especial Sobre Producción y Servicios a las gasolinas y diésel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d) Impuesto Sobre la Renta de quienes tributan en los términos del Capítulo IV del Título IV de la Ley del Impuesto Sobre la Renta respecto de la enajenación de terrenos construcciones o terrenos y construcciones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57,554,654.00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 Impuesto Sobre la Renta Impuesto al Valor Agregado Impuesto Empresarial de Tasa Única de quienes tributan en los términos de la Sección III del Capítulo II del Título IV de la Ley del Impuesto Sobre la Renta</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78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8.4.1.1.6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f) Impuesto Sobre la Renta de quienes tributan en los términos de la Sección II del Capítulo II del Título IV de la Ley del Impuesto Sobre la Renta (Régimen Intermedio)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Incentivos y Multas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476,890,867.00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Fiscalización concurrente</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120,400,000.00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Anexo 19</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27,256,320.00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Zofemat</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8.4.1.2.4</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Derechos 5 al millar Federal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7,500,000.00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Acto de vigilancia plus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84,000,000.00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8.4.1.2.6</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MAFNF</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5,000,000.00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Anexo 18</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3,000,000.00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8.4.1.2.8</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Repecos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Intermedios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1.00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8.4.1.2.10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Incentivos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229,234,545.00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Fondos Distintos de 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8.5.1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Otros fondos distintos de 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9</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Transferencias, Asignaciones, Subsidios y Subvenciones, y Pensiones y Jubilaciones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2,065,694,585.00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Transferencias y Asignaciones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Transferencias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Asignaciones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Subsidios y Subvenciones</w:t>
            </w:r>
          </w:p>
        </w:tc>
        <w:tc>
          <w:tcPr>
            <w:tcW w:w="2080" w:type="dxa"/>
            <w:tcBorders>
              <w:top w:val="nil"/>
              <w:left w:val="nil"/>
              <w:bottom w:val="nil"/>
              <w:right w:val="nil"/>
            </w:tcBorders>
          </w:tcPr>
          <w:p w:rsidR="00E3618E" w:rsidRPr="004B3AC1" w:rsidRDefault="00716295"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2,065,694,585.00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Universidad Autónoma de Yucatán</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2,065,694,585.00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9.5</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Pensiones y Jubilaciones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9.5.1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Pensiones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9.5.2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 xml:space="preserve">Jubilaciones </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9.7</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Transferencias del Fondo Mexicano del Petróleo para la Estabilización y el Desarrollo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52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9.7.1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Transferencias del Fondo Mexicano del Petróleo para la Estabilización y el Desarrollo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0</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Ingresos Derivados de Financiamientos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2,004,620,000.00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Endeudamiento Interno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2,004,620,000.00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0.1.1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Empréstitos con Fuente de Pago de Participaciones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2,004,620,000.00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0.1.2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Empréstitos con Fuente de Pago de 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Endeudamiento Externo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0.2.1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Empréstitos con Fuente de Pago de Participaciones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0.2.2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Empréstitos con Fuente de Pago de 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0.3</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Financiamiento Interno</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0.3.1</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Empréstitos con Fuente de Pago de Participaciones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E3618E">
        <w:trPr>
          <w:trHeight w:val="260"/>
        </w:trPr>
        <w:tc>
          <w:tcPr>
            <w:tcW w:w="94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0.3.2</w:t>
            </w:r>
          </w:p>
        </w:tc>
        <w:tc>
          <w:tcPr>
            <w:tcW w:w="6480" w:type="dxa"/>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color w:val="000000"/>
                <w:sz w:val="18"/>
                <w:szCs w:val="18"/>
                <w:lang w:eastAsia="es-MX"/>
              </w:rPr>
            </w:pPr>
            <w:r w:rsidRPr="004B3AC1">
              <w:rPr>
                <w:rFonts w:eastAsiaTheme="minorEastAsia" w:cs="Barlow"/>
                <w:color w:val="000000"/>
                <w:sz w:val="18"/>
                <w:szCs w:val="18"/>
                <w:lang w:eastAsia="es-MX"/>
              </w:rPr>
              <w:t>Empréstitos con Fuente de Pago de Aportaciones</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color w:val="000000"/>
                <w:sz w:val="18"/>
                <w:szCs w:val="18"/>
                <w:lang w:eastAsia="es-MX"/>
              </w:rPr>
            </w:pPr>
            <w:r w:rsidRPr="004B3AC1">
              <w:rPr>
                <w:rFonts w:eastAsiaTheme="minorEastAsia" w:cs="Barlow"/>
                <w:color w:val="000000"/>
                <w:sz w:val="18"/>
                <w:szCs w:val="18"/>
                <w:lang w:eastAsia="es-MX"/>
              </w:rPr>
              <w:t>0.00</w:t>
            </w:r>
          </w:p>
        </w:tc>
      </w:tr>
      <w:tr w:rsidR="00E3618E" w:rsidRPr="004B3AC1" w:rsidTr="00713325">
        <w:trPr>
          <w:trHeight w:val="260"/>
        </w:trPr>
        <w:tc>
          <w:tcPr>
            <w:tcW w:w="7420" w:type="dxa"/>
            <w:gridSpan w:val="2"/>
            <w:tcBorders>
              <w:top w:val="nil"/>
              <w:left w:val="nil"/>
              <w:bottom w:val="nil"/>
              <w:right w:val="nil"/>
            </w:tcBorders>
          </w:tcPr>
          <w:p w:rsidR="00E3618E" w:rsidRPr="004B3AC1" w:rsidRDefault="00E3618E" w:rsidP="00E3618E">
            <w:pPr>
              <w:autoSpaceDE w:val="0"/>
              <w:autoSpaceDN w:val="0"/>
              <w:adjustRightInd w:val="0"/>
              <w:spacing w:after="0" w:line="240" w:lineRule="auto"/>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GRAN TOTAL</w:t>
            </w:r>
          </w:p>
        </w:tc>
        <w:tc>
          <w:tcPr>
            <w:tcW w:w="2080" w:type="dxa"/>
            <w:tcBorders>
              <w:top w:val="nil"/>
              <w:left w:val="nil"/>
              <w:bottom w:val="nil"/>
              <w:right w:val="nil"/>
            </w:tcBorders>
          </w:tcPr>
          <w:p w:rsidR="00E3618E" w:rsidRPr="004B3AC1" w:rsidRDefault="00E3618E" w:rsidP="00E3618E">
            <w:pPr>
              <w:autoSpaceDE w:val="0"/>
              <w:autoSpaceDN w:val="0"/>
              <w:adjustRightInd w:val="0"/>
              <w:spacing w:after="0" w:line="240" w:lineRule="auto"/>
              <w:jc w:val="right"/>
              <w:rPr>
                <w:rFonts w:eastAsiaTheme="minorEastAsia" w:cs="Barlow"/>
                <w:b/>
                <w:bCs/>
                <w:color w:val="000000"/>
                <w:sz w:val="18"/>
                <w:szCs w:val="18"/>
                <w:lang w:eastAsia="es-MX"/>
              </w:rPr>
            </w:pPr>
            <w:r w:rsidRPr="004B3AC1">
              <w:rPr>
                <w:rFonts w:eastAsiaTheme="minorEastAsia" w:cs="Barlow"/>
                <w:b/>
                <w:bCs/>
                <w:color w:val="000000"/>
                <w:sz w:val="18"/>
                <w:szCs w:val="18"/>
                <w:lang w:eastAsia="es-MX"/>
              </w:rPr>
              <w:t>44,189,647,866.00</w:t>
            </w:r>
          </w:p>
        </w:tc>
      </w:tr>
    </w:tbl>
    <w:p w:rsidR="00E3618E" w:rsidRPr="004B3AC1" w:rsidRDefault="007A796A" w:rsidP="00034757">
      <w:pPr>
        <w:spacing w:after="0" w:line="0" w:lineRule="atLeast"/>
        <w:jc w:val="center"/>
        <w:rPr>
          <w:rFonts w:ascii="Arial" w:hAnsi="Arial" w:cs="Arial"/>
          <w:b/>
          <w:sz w:val="24"/>
          <w:szCs w:val="24"/>
        </w:rPr>
      </w:pPr>
      <w:r w:rsidRPr="004B3AC1">
        <w:rPr>
          <w:rFonts w:ascii="Arial" w:hAnsi="Arial" w:cs="Arial"/>
          <w:b/>
          <w:sz w:val="24"/>
          <w:szCs w:val="24"/>
        </w:rPr>
        <w:fldChar w:fldCharType="end"/>
      </w:r>
    </w:p>
    <w:p w:rsidR="00282B00" w:rsidRPr="004B3AC1" w:rsidRDefault="00D02E9C"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En los casos en que </w:t>
      </w:r>
      <w:r w:rsidR="00282B00" w:rsidRPr="004B3AC1">
        <w:rPr>
          <w:rFonts w:ascii="Arial" w:hAnsi="Arial" w:cs="Arial"/>
          <w:sz w:val="24"/>
          <w:szCs w:val="24"/>
        </w:rPr>
        <w:t xml:space="preserve">una ley establezca alguno de los ingresos previstos en este artículo, </w:t>
      </w:r>
      <w:r w:rsidRPr="004B3AC1">
        <w:rPr>
          <w:rFonts w:ascii="Arial" w:hAnsi="Arial" w:cs="Arial"/>
          <w:sz w:val="24"/>
          <w:szCs w:val="24"/>
        </w:rPr>
        <w:t xml:space="preserve">y </w:t>
      </w:r>
      <w:r w:rsidR="00282B00" w:rsidRPr="004B3AC1">
        <w:rPr>
          <w:rFonts w:ascii="Arial" w:hAnsi="Arial" w:cs="Arial"/>
          <w:sz w:val="24"/>
          <w:szCs w:val="24"/>
        </w:rPr>
        <w:t>contenga disposiciones que señalen otros ingresos, estos últimos se considerarán comprendidos en el rubro, tipo o clase que corresponda a los ingresos del primero.</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Con el </w:t>
      </w:r>
      <w:r w:rsidR="00D02E9C" w:rsidRPr="004B3AC1">
        <w:rPr>
          <w:rFonts w:ascii="Arial" w:hAnsi="Arial" w:cs="Arial"/>
          <w:sz w:val="24"/>
          <w:szCs w:val="24"/>
        </w:rPr>
        <w:t>objeto</w:t>
      </w:r>
      <w:r w:rsidRPr="004B3AC1">
        <w:rPr>
          <w:rFonts w:ascii="Arial" w:hAnsi="Arial" w:cs="Arial"/>
          <w:sz w:val="24"/>
          <w:szCs w:val="24"/>
        </w:rPr>
        <w:t xml:space="preserve"> de cumplir con lo establecido en el artículo 5 de la Ley de Disciplina Financiera de las Entidades Federativas y los Municipios y los Criterios para la elaboración y presentación homogénea de la información financiera y de los formatos a que hace </w:t>
      </w:r>
      <w:r w:rsidRPr="004B3AC1">
        <w:rPr>
          <w:rFonts w:ascii="Arial" w:hAnsi="Arial" w:cs="Arial"/>
          <w:bCs/>
          <w:color w:val="000000"/>
          <w:sz w:val="24"/>
          <w:szCs w:val="24"/>
        </w:rPr>
        <w:t>referencia la Ley de Disciplina Financie</w:t>
      </w:r>
      <w:r w:rsidR="00937932" w:rsidRPr="004B3AC1">
        <w:rPr>
          <w:rFonts w:ascii="Arial" w:hAnsi="Arial" w:cs="Arial"/>
          <w:bCs/>
          <w:color w:val="000000"/>
          <w:sz w:val="24"/>
          <w:szCs w:val="24"/>
        </w:rPr>
        <w:t xml:space="preserve">ra de las Entidades Federativas </w:t>
      </w:r>
      <w:r w:rsidRPr="004B3AC1">
        <w:rPr>
          <w:rFonts w:ascii="Arial" w:hAnsi="Arial" w:cs="Arial"/>
          <w:bCs/>
          <w:color w:val="000000"/>
          <w:sz w:val="24"/>
          <w:szCs w:val="24"/>
        </w:rPr>
        <w:t>y los</w:t>
      </w:r>
      <w:r w:rsidR="009215B7" w:rsidRPr="004B3AC1">
        <w:rPr>
          <w:rFonts w:ascii="Arial" w:hAnsi="Arial" w:cs="Arial"/>
          <w:bCs/>
          <w:color w:val="000000"/>
          <w:sz w:val="24"/>
          <w:szCs w:val="24"/>
        </w:rPr>
        <w:t xml:space="preserve"> </w:t>
      </w:r>
      <w:r w:rsidRPr="004B3AC1">
        <w:rPr>
          <w:rFonts w:ascii="Arial" w:hAnsi="Arial" w:cs="Arial"/>
          <w:bCs/>
          <w:color w:val="000000"/>
          <w:sz w:val="24"/>
          <w:szCs w:val="24"/>
        </w:rPr>
        <w:t>Municipios</w:t>
      </w:r>
      <w:r w:rsidRPr="004B3AC1">
        <w:rPr>
          <w:rFonts w:ascii="Arial" w:hAnsi="Arial" w:cs="Arial"/>
          <w:sz w:val="24"/>
          <w:szCs w:val="24"/>
        </w:rPr>
        <w:t>, se anexan las proyecciones de ingresos a cinco años y los resultados de ingresos de cinco años anteriore</w:t>
      </w:r>
      <w:r w:rsidR="004E07BE" w:rsidRPr="004B3AC1">
        <w:rPr>
          <w:rFonts w:ascii="Arial" w:hAnsi="Arial" w:cs="Arial"/>
          <w:sz w:val="24"/>
          <w:szCs w:val="24"/>
        </w:rPr>
        <w:t>s (anexo I</w:t>
      </w:r>
      <w:r w:rsidRPr="004B3AC1">
        <w:rPr>
          <w:rFonts w:ascii="Arial" w:hAnsi="Arial" w:cs="Arial"/>
          <w:sz w:val="24"/>
          <w:szCs w:val="24"/>
        </w:rPr>
        <w:t>).</w:t>
      </w:r>
    </w:p>
    <w:p w:rsidR="00282B00" w:rsidRPr="004B3AC1" w:rsidRDefault="00282B00" w:rsidP="00937932">
      <w:pPr>
        <w:spacing w:before="100" w:beforeAutospacing="1" w:after="100" w:afterAutospacing="1" w:line="240" w:lineRule="auto"/>
        <w:jc w:val="both"/>
        <w:rPr>
          <w:rFonts w:ascii="Arial" w:hAnsi="Arial" w:cs="Arial"/>
          <w:b/>
          <w:sz w:val="24"/>
          <w:szCs w:val="24"/>
        </w:rPr>
      </w:pPr>
      <w:r w:rsidRPr="004B3AC1">
        <w:rPr>
          <w:rFonts w:ascii="Arial" w:hAnsi="Arial" w:cs="Arial"/>
          <w:b/>
          <w:bCs/>
          <w:sz w:val="24"/>
          <w:szCs w:val="24"/>
        </w:rPr>
        <w:t>Artículo 3. Financiamiento del Programa Yucatán Seguro</w:t>
      </w:r>
    </w:p>
    <w:p w:rsidR="00AC428E" w:rsidRPr="004B3AC1" w:rsidRDefault="00282B00" w:rsidP="00AC428E">
      <w:pPr>
        <w:autoSpaceDE w:val="0"/>
        <w:autoSpaceDN w:val="0"/>
        <w:adjustRightInd w:val="0"/>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Con base en el Decreto 98/2019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 el Poder Ejecutivo del Estado de Yucatán, por conducto de la Secretaría de Administración y Finanzas, continuará disponiendo </w:t>
      </w:r>
      <w:r w:rsidR="001A322F" w:rsidRPr="004B3AC1">
        <w:rPr>
          <w:rFonts w:ascii="Arial" w:hAnsi="Arial" w:cs="Arial"/>
          <w:sz w:val="24"/>
          <w:szCs w:val="24"/>
        </w:rPr>
        <w:t>del remanente disponible de la autorización hasta por la cantidad</w:t>
      </w:r>
      <w:r w:rsidR="00AC428E" w:rsidRPr="004B3AC1">
        <w:rPr>
          <w:rFonts w:ascii="Arial" w:hAnsi="Arial" w:cs="Arial"/>
          <w:sz w:val="24"/>
          <w:szCs w:val="24"/>
        </w:rPr>
        <w:t xml:space="preserve"> de </w:t>
      </w:r>
      <w:r w:rsidR="005973EF" w:rsidRPr="004B3AC1">
        <w:rPr>
          <w:rFonts w:ascii="Arial" w:hAnsi="Arial"/>
          <w:sz w:val="24"/>
        </w:rPr>
        <w:t>$2,004,620,000.00</w:t>
      </w:r>
      <w:r w:rsidR="001A322F" w:rsidRPr="004B3AC1">
        <w:rPr>
          <w:rFonts w:ascii="Arial" w:hAnsi="Arial" w:cs="Arial"/>
          <w:sz w:val="24"/>
          <w:szCs w:val="24"/>
        </w:rPr>
        <w:t xml:space="preserve"> pesos.</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b/>
          <w:bCs/>
          <w:sz w:val="24"/>
          <w:szCs w:val="24"/>
        </w:rPr>
        <w:t>Artícul</w:t>
      </w:r>
      <w:r w:rsidR="004F3C68" w:rsidRPr="004B3AC1">
        <w:rPr>
          <w:rFonts w:ascii="Arial" w:hAnsi="Arial" w:cs="Arial"/>
          <w:b/>
          <w:bCs/>
          <w:sz w:val="24"/>
          <w:szCs w:val="24"/>
        </w:rPr>
        <w:t xml:space="preserve">o 4. Programa de financiamiento </w:t>
      </w:r>
      <w:r w:rsidRPr="004B3AC1">
        <w:rPr>
          <w:rFonts w:ascii="Arial" w:hAnsi="Arial" w:cs="Arial"/>
          <w:b/>
          <w:bCs/>
          <w:sz w:val="24"/>
          <w:szCs w:val="24"/>
        </w:rPr>
        <w:t>anual</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La estimación de amortizaciones y de costo del servicio de deuda que </w:t>
      </w:r>
      <w:r w:rsidR="000F6A82" w:rsidRPr="004B3AC1">
        <w:rPr>
          <w:rFonts w:ascii="Arial" w:hAnsi="Arial" w:cs="Arial"/>
          <w:sz w:val="24"/>
          <w:szCs w:val="24"/>
        </w:rPr>
        <w:t xml:space="preserve">se cubrirán durante el ejercicio </w:t>
      </w:r>
      <w:r w:rsidRPr="004B3AC1">
        <w:rPr>
          <w:rFonts w:ascii="Arial" w:hAnsi="Arial" w:cs="Arial"/>
          <w:sz w:val="24"/>
          <w:szCs w:val="24"/>
        </w:rPr>
        <w:t xml:space="preserve">fiscal 2020 es de </w:t>
      </w:r>
      <w:r w:rsidR="000F6A82" w:rsidRPr="004B3AC1">
        <w:rPr>
          <w:rFonts w:ascii="Arial" w:hAnsi="Arial" w:cs="Arial"/>
          <w:sz w:val="24"/>
          <w:szCs w:val="24"/>
        </w:rPr>
        <w:t xml:space="preserve">$143,792,334.00 </w:t>
      </w:r>
      <w:r w:rsidRPr="004B3AC1">
        <w:rPr>
          <w:rFonts w:ascii="Arial" w:hAnsi="Arial" w:cs="Arial"/>
          <w:sz w:val="24"/>
          <w:szCs w:val="24"/>
        </w:rPr>
        <w:t xml:space="preserve">y de </w:t>
      </w:r>
      <w:r w:rsidR="000F6A82" w:rsidRPr="004B3AC1">
        <w:rPr>
          <w:rFonts w:ascii="Arial" w:hAnsi="Arial"/>
          <w:sz w:val="24"/>
        </w:rPr>
        <w:t>$615,217,870.00</w:t>
      </w:r>
      <w:r w:rsidRPr="004B3AC1">
        <w:rPr>
          <w:rFonts w:ascii="Arial" w:hAnsi="Arial" w:cs="Arial"/>
          <w:sz w:val="24"/>
          <w:szCs w:val="24"/>
        </w:rPr>
        <w:t>, respectivamente, los cuales corresponden a los seis financiamientos activos identificados con las claves de registro federal: A31-1016102, 392/2011, P31-0413037, P31-1113143, P31-1217118, P31-1119054, las cuales serán aplicadas de la siguiente manera:</w:t>
      </w:r>
    </w:p>
    <w:p w:rsidR="00282B00" w:rsidRPr="004B3AC1" w:rsidRDefault="00282B00" w:rsidP="00937932">
      <w:pPr>
        <w:spacing w:before="100" w:beforeAutospacing="1" w:after="100" w:afterAutospacing="1" w:line="240" w:lineRule="auto"/>
        <w:jc w:val="center"/>
        <w:rPr>
          <w:rFonts w:ascii="Arial" w:eastAsia="Times New Roman" w:hAnsi="Arial" w:cs="Arial"/>
          <w:b/>
          <w:bCs/>
          <w:color w:val="000000"/>
          <w:sz w:val="24"/>
          <w:szCs w:val="24"/>
          <w:lang w:eastAsia="es-MX"/>
        </w:rPr>
      </w:pPr>
      <w:r w:rsidRPr="004B3AC1">
        <w:rPr>
          <w:rFonts w:ascii="Arial" w:eastAsia="Times New Roman" w:hAnsi="Arial" w:cs="Arial"/>
          <w:b/>
          <w:bCs/>
          <w:color w:val="000000"/>
          <w:sz w:val="24"/>
          <w:szCs w:val="24"/>
          <w:lang w:eastAsia="es-MX"/>
        </w:rPr>
        <w:t>Tabla 2. Amortización y servicio de la deuda</w:t>
      </w:r>
    </w:p>
    <w:tbl>
      <w:tblPr>
        <w:tblW w:w="892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38"/>
        <w:gridCol w:w="2835"/>
        <w:gridCol w:w="1559"/>
        <w:gridCol w:w="1559"/>
        <w:gridCol w:w="1534"/>
      </w:tblGrid>
      <w:tr w:rsidR="001A322F" w:rsidRPr="004B3AC1" w:rsidTr="001A322F">
        <w:trPr>
          <w:trHeight w:val="600"/>
        </w:trPr>
        <w:tc>
          <w:tcPr>
            <w:tcW w:w="1438" w:type="dxa"/>
            <w:shd w:val="clear" w:color="auto" w:fill="000000" w:themeFill="text1"/>
            <w:vAlign w:val="center"/>
            <w:hideMark/>
          </w:tcPr>
          <w:p w:rsidR="001A322F" w:rsidRPr="004B3AC1" w:rsidRDefault="001A322F" w:rsidP="00A11C87">
            <w:pPr>
              <w:spacing w:after="0" w:line="240" w:lineRule="auto"/>
              <w:jc w:val="center"/>
              <w:rPr>
                <w:rFonts w:ascii="Arial" w:eastAsia="Times New Roman" w:hAnsi="Arial" w:cs="Arial"/>
                <w:b/>
                <w:bCs/>
                <w:color w:val="FFFFFF"/>
                <w:sz w:val="18"/>
                <w:szCs w:val="18"/>
                <w:lang w:eastAsia="es-MX"/>
              </w:rPr>
            </w:pPr>
            <w:r w:rsidRPr="004B3AC1">
              <w:rPr>
                <w:rFonts w:ascii="Arial" w:eastAsia="Times New Roman" w:hAnsi="Arial" w:cs="Arial"/>
                <w:b/>
                <w:bCs/>
                <w:color w:val="FFFFFF"/>
                <w:sz w:val="18"/>
                <w:szCs w:val="18"/>
                <w:lang w:eastAsia="es-MX"/>
              </w:rPr>
              <w:t>Clasificación deuda</w:t>
            </w:r>
          </w:p>
        </w:tc>
        <w:tc>
          <w:tcPr>
            <w:tcW w:w="2835" w:type="dxa"/>
            <w:shd w:val="clear" w:color="auto" w:fill="000000" w:themeFill="text1"/>
            <w:vAlign w:val="center"/>
            <w:hideMark/>
          </w:tcPr>
          <w:p w:rsidR="001A322F" w:rsidRPr="004B3AC1" w:rsidRDefault="001A322F" w:rsidP="00A11C87">
            <w:pPr>
              <w:spacing w:after="0" w:line="240" w:lineRule="auto"/>
              <w:jc w:val="center"/>
              <w:rPr>
                <w:rFonts w:ascii="Arial" w:eastAsia="Times New Roman" w:hAnsi="Arial" w:cs="Arial"/>
                <w:b/>
                <w:bCs/>
                <w:color w:val="FFFFFF"/>
                <w:sz w:val="18"/>
                <w:szCs w:val="18"/>
                <w:lang w:eastAsia="es-MX"/>
              </w:rPr>
            </w:pPr>
            <w:r w:rsidRPr="004B3AC1">
              <w:rPr>
                <w:rFonts w:ascii="Arial" w:eastAsia="Times New Roman" w:hAnsi="Arial" w:cs="Arial"/>
                <w:b/>
                <w:bCs/>
                <w:color w:val="FFFFFF"/>
                <w:sz w:val="18"/>
                <w:szCs w:val="18"/>
                <w:lang w:eastAsia="es-MX"/>
              </w:rPr>
              <w:t>Institución financiera</w:t>
            </w:r>
          </w:p>
        </w:tc>
        <w:tc>
          <w:tcPr>
            <w:tcW w:w="1559" w:type="dxa"/>
            <w:shd w:val="clear" w:color="auto" w:fill="000000" w:themeFill="text1"/>
            <w:vAlign w:val="center"/>
            <w:hideMark/>
          </w:tcPr>
          <w:p w:rsidR="001A322F" w:rsidRPr="004B3AC1" w:rsidRDefault="001A322F" w:rsidP="00A11C87">
            <w:pPr>
              <w:spacing w:after="0" w:line="240" w:lineRule="auto"/>
              <w:jc w:val="center"/>
              <w:rPr>
                <w:rFonts w:ascii="Arial" w:eastAsia="Times New Roman" w:hAnsi="Arial" w:cs="Arial"/>
                <w:b/>
                <w:bCs/>
                <w:color w:val="FFFFFF"/>
                <w:sz w:val="18"/>
                <w:szCs w:val="18"/>
                <w:lang w:eastAsia="es-MX"/>
              </w:rPr>
            </w:pPr>
            <w:r w:rsidRPr="004B3AC1">
              <w:rPr>
                <w:rFonts w:ascii="Arial" w:eastAsia="Times New Roman" w:hAnsi="Arial" w:cs="Arial"/>
                <w:b/>
                <w:bCs/>
                <w:color w:val="FFFFFF"/>
                <w:sz w:val="18"/>
                <w:szCs w:val="18"/>
                <w:lang w:eastAsia="es-MX"/>
              </w:rPr>
              <w:t xml:space="preserve">Saldo al </w:t>
            </w:r>
            <w:r w:rsidRPr="004B3AC1">
              <w:rPr>
                <w:rFonts w:ascii="Arial" w:eastAsia="Times New Roman" w:hAnsi="Arial" w:cs="Arial"/>
                <w:b/>
                <w:bCs/>
                <w:color w:val="FFFFFF"/>
                <w:sz w:val="18"/>
                <w:szCs w:val="18"/>
                <w:lang w:eastAsia="es-MX"/>
              </w:rPr>
              <w:br/>
              <w:t>31/dic/2019</w:t>
            </w:r>
          </w:p>
        </w:tc>
        <w:tc>
          <w:tcPr>
            <w:tcW w:w="1559" w:type="dxa"/>
            <w:shd w:val="clear" w:color="auto" w:fill="000000" w:themeFill="text1"/>
            <w:vAlign w:val="center"/>
            <w:hideMark/>
          </w:tcPr>
          <w:p w:rsidR="001A322F" w:rsidRPr="004B3AC1" w:rsidRDefault="001A322F" w:rsidP="00A11C87">
            <w:pPr>
              <w:spacing w:after="0" w:line="240" w:lineRule="auto"/>
              <w:jc w:val="center"/>
              <w:rPr>
                <w:rFonts w:ascii="Arial" w:eastAsia="Times New Roman" w:hAnsi="Arial" w:cs="Arial"/>
                <w:b/>
                <w:bCs/>
                <w:color w:val="FFFFFF"/>
                <w:sz w:val="18"/>
                <w:szCs w:val="18"/>
                <w:lang w:eastAsia="es-MX"/>
              </w:rPr>
            </w:pPr>
            <w:r w:rsidRPr="004B3AC1">
              <w:rPr>
                <w:rFonts w:ascii="Arial" w:eastAsia="Times New Roman" w:hAnsi="Arial" w:cs="Arial"/>
                <w:b/>
                <w:bCs/>
                <w:color w:val="FFFFFF"/>
                <w:sz w:val="18"/>
                <w:szCs w:val="18"/>
                <w:lang w:eastAsia="es-MX"/>
              </w:rPr>
              <w:t>Amortización</w:t>
            </w:r>
            <w:r w:rsidRPr="004B3AC1">
              <w:rPr>
                <w:rFonts w:ascii="Arial" w:eastAsia="Times New Roman" w:hAnsi="Arial" w:cs="Arial"/>
                <w:b/>
                <w:bCs/>
                <w:color w:val="FFFFFF"/>
                <w:sz w:val="18"/>
                <w:szCs w:val="18"/>
                <w:vertAlign w:val="superscript"/>
                <w:lang w:eastAsia="es-MX"/>
              </w:rPr>
              <w:t>1</w:t>
            </w:r>
          </w:p>
        </w:tc>
        <w:tc>
          <w:tcPr>
            <w:tcW w:w="1534" w:type="dxa"/>
            <w:shd w:val="clear" w:color="auto" w:fill="000000" w:themeFill="text1"/>
            <w:vAlign w:val="center"/>
            <w:hideMark/>
          </w:tcPr>
          <w:p w:rsidR="001A322F" w:rsidRPr="004B3AC1" w:rsidRDefault="001A322F" w:rsidP="00A11C87">
            <w:pPr>
              <w:spacing w:after="0" w:line="240" w:lineRule="auto"/>
              <w:jc w:val="center"/>
              <w:rPr>
                <w:rFonts w:ascii="Arial" w:eastAsia="Times New Roman" w:hAnsi="Arial" w:cs="Arial"/>
                <w:b/>
                <w:bCs/>
                <w:color w:val="FFFFFF"/>
                <w:sz w:val="18"/>
                <w:szCs w:val="18"/>
                <w:lang w:eastAsia="es-MX"/>
              </w:rPr>
            </w:pPr>
            <w:r w:rsidRPr="004B3AC1">
              <w:rPr>
                <w:rFonts w:ascii="Arial" w:eastAsia="Times New Roman" w:hAnsi="Arial" w:cs="Arial"/>
                <w:b/>
                <w:bCs/>
                <w:color w:val="FFFFFF"/>
                <w:sz w:val="18"/>
                <w:szCs w:val="18"/>
                <w:lang w:eastAsia="es-MX"/>
              </w:rPr>
              <w:t>Servicio de la deuda</w:t>
            </w:r>
            <w:r w:rsidRPr="004B3AC1">
              <w:rPr>
                <w:rFonts w:ascii="Arial" w:eastAsia="Times New Roman" w:hAnsi="Arial" w:cs="Arial"/>
                <w:b/>
                <w:bCs/>
                <w:color w:val="FFFFFF"/>
                <w:sz w:val="18"/>
                <w:szCs w:val="18"/>
                <w:vertAlign w:val="superscript"/>
                <w:lang w:eastAsia="es-MX"/>
              </w:rPr>
              <w:t>2</w:t>
            </w:r>
          </w:p>
        </w:tc>
      </w:tr>
      <w:tr w:rsidR="001A322F" w:rsidRPr="004B3AC1" w:rsidTr="001A322F">
        <w:trPr>
          <w:trHeight w:val="300"/>
        </w:trPr>
        <w:tc>
          <w:tcPr>
            <w:tcW w:w="1438"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Deuda directa</w:t>
            </w:r>
          </w:p>
        </w:tc>
        <w:tc>
          <w:tcPr>
            <w:tcW w:w="2835"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Banco Nacional de Obras y Servicios Públicos, S.N.C.</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601,883,328</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12,955,482</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55,157,831</w:t>
            </w:r>
          </w:p>
        </w:tc>
      </w:tr>
      <w:tr w:rsidR="001A322F" w:rsidRPr="004B3AC1" w:rsidTr="001A322F">
        <w:trPr>
          <w:trHeight w:val="300"/>
        </w:trPr>
        <w:tc>
          <w:tcPr>
            <w:tcW w:w="1438" w:type="dxa"/>
            <w:noWrap/>
            <w:vAlign w:val="bottom"/>
            <w:hideMark/>
          </w:tcPr>
          <w:p w:rsidR="001A322F" w:rsidRPr="004B3AC1" w:rsidRDefault="001A322F" w:rsidP="00A11C87">
            <w:pPr>
              <w:spacing w:after="0"/>
              <w:rPr>
                <w:rFonts w:ascii="Arial" w:hAnsi="Arial" w:cs="Arial"/>
                <w:sz w:val="18"/>
                <w:szCs w:val="18"/>
              </w:rPr>
            </w:pPr>
          </w:p>
        </w:tc>
        <w:tc>
          <w:tcPr>
            <w:tcW w:w="2835"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Banco Nacional de Obras y Servicios Públicos, S.N.C.</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1,340,054,068</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66,891,153</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121,515,197</w:t>
            </w:r>
          </w:p>
        </w:tc>
      </w:tr>
      <w:tr w:rsidR="001A322F" w:rsidRPr="004B3AC1" w:rsidTr="001A322F">
        <w:trPr>
          <w:trHeight w:val="300"/>
        </w:trPr>
        <w:tc>
          <w:tcPr>
            <w:tcW w:w="1438" w:type="dxa"/>
            <w:noWrap/>
            <w:vAlign w:val="bottom"/>
            <w:hideMark/>
          </w:tcPr>
          <w:p w:rsidR="001A322F" w:rsidRPr="004B3AC1" w:rsidRDefault="001A322F" w:rsidP="00A11C87">
            <w:pPr>
              <w:spacing w:after="0"/>
              <w:rPr>
                <w:rFonts w:ascii="Arial" w:hAnsi="Arial" w:cs="Arial"/>
                <w:sz w:val="18"/>
                <w:szCs w:val="18"/>
              </w:rPr>
            </w:pPr>
          </w:p>
        </w:tc>
        <w:tc>
          <w:tcPr>
            <w:tcW w:w="2835"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Banco Mercantil del Norte, S.A.</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1,079,404,755</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54,424,275</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103,095,687</w:t>
            </w:r>
          </w:p>
        </w:tc>
      </w:tr>
      <w:tr w:rsidR="001A322F" w:rsidRPr="004B3AC1" w:rsidTr="001A322F">
        <w:trPr>
          <w:trHeight w:val="300"/>
        </w:trPr>
        <w:tc>
          <w:tcPr>
            <w:tcW w:w="1438" w:type="dxa"/>
            <w:noWrap/>
            <w:vAlign w:val="bottom"/>
            <w:hideMark/>
          </w:tcPr>
          <w:p w:rsidR="001A322F" w:rsidRPr="004B3AC1" w:rsidRDefault="001A322F" w:rsidP="00A11C87">
            <w:pPr>
              <w:spacing w:after="0"/>
              <w:rPr>
                <w:rFonts w:ascii="Arial" w:hAnsi="Arial" w:cs="Arial"/>
                <w:sz w:val="18"/>
                <w:szCs w:val="18"/>
              </w:rPr>
            </w:pPr>
          </w:p>
        </w:tc>
        <w:tc>
          <w:tcPr>
            <w:tcW w:w="2835"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Banco Nacional de Obras y Servicios Públicos, S.N.C.</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478,617,483</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5,398,240</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43,820,758</w:t>
            </w:r>
          </w:p>
        </w:tc>
      </w:tr>
      <w:tr w:rsidR="001A322F" w:rsidRPr="004B3AC1" w:rsidTr="001A322F">
        <w:trPr>
          <w:trHeight w:val="300"/>
        </w:trPr>
        <w:tc>
          <w:tcPr>
            <w:tcW w:w="1438" w:type="dxa"/>
            <w:noWrap/>
            <w:vAlign w:val="bottom"/>
            <w:hideMark/>
          </w:tcPr>
          <w:p w:rsidR="001A322F" w:rsidRPr="004B3AC1" w:rsidRDefault="001A322F" w:rsidP="00A11C87">
            <w:pPr>
              <w:spacing w:after="0"/>
              <w:rPr>
                <w:rFonts w:ascii="Arial" w:hAnsi="Arial" w:cs="Arial"/>
                <w:sz w:val="18"/>
                <w:szCs w:val="18"/>
              </w:rPr>
            </w:pPr>
          </w:p>
        </w:tc>
        <w:tc>
          <w:tcPr>
            <w:tcW w:w="2835"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Banco Nacional de México, S.A.</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615,360,000</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4,123,184</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266,175,201</w:t>
            </w:r>
          </w:p>
        </w:tc>
      </w:tr>
      <w:tr w:rsidR="001A322F" w:rsidRPr="004B3AC1" w:rsidTr="001A322F">
        <w:trPr>
          <w:trHeight w:val="300"/>
        </w:trPr>
        <w:tc>
          <w:tcPr>
            <w:tcW w:w="1438" w:type="dxa"/>
            <w:noWrap/>
            <w:vAlign w:val="bottom"/>
            <w:hideMark/>
          </w:tcPr>
          <w:p w:rsidR="001A322F" w:rsidRPr="004B3AC1" w:rsidRDefault="001A322F" w:rsidP="00A11C87">
            <w:pPr>
              <w:spacing w:after="0"/>
              <w:rPr>
                <w:rFonts w:ascii="Arial" w:hAnsi="Arial" w:cs="Arial"/>
                <w:sz w:val="18"/>
                <w:szCs w:val="18"/>
              </w:rPr>
            </w:pPr>
          </w:p>
        </w:tc>
        <w:tc>
          <w:tcPr>
            <w:tcW w:w="2835" w:type="dxa"/>
            <w:noWrap/>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Total deuda pública directa:</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4,115,319,634</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143,792,334</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589,764,674.00</w:t>
            </w:r>
          </w:p>
        </w:tc>
      </w:tr>
      <w:tr w:rsidR="001A322F" w:rsidRPr="004B3AC1" w:rsidTr="001A322F">
        <w:trPr>
          <w:trHeight w:val="690"/>
        </w:trPr>
        <w:tc>
          <w:tcPr>
            <w:tcW w:w="1438" w:type="dxa"/>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Deuda pública con garantía</w:t>
            </w:r>
          </w:p>
        </w:tc>
        <w:tc>
          <w:tcPr>
            <w:tcW w:w="2835" w:type="dxa"/>
            <w:noWrap/>
            <w:vAlign w:val="center"/>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Banco Nacional de Obras y Servicios Públicos, S.N.C.</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306,931,762</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0</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25,453,196</w:t>
            </w:r>
          </w:p>
        </w:tc>
      </w:tr>
      <w:tr w:rsidR="001A322F" w:rsidRPr="004B3AC1" w:rsidTr="001A322F">
        <w:trPr>
          <w:trHeight w:val="300"/>
        </w:trPr>
        <w:tc>
          <w:tcPr>
            <w:tcW w:w="1438" w:type="dxa"/>
            <w:noWrap/>
            <w:vAlign w:val="bottom"/>
            <w:hideMark/>
          </w:tcPr>
          <w:p w:rsidR="001A322F" w:rsidRPr="004B3AC1" w:rsidRDefault="001A322F" w:rsidP="00A11C87">
            <w:pPr>
              <w:spacing w:after="0"/>
              <w:rPr>
                <w:rFonts w:ascii="Arial" w:hAnsi="Arial" w:cs="Arial"/>
                <w:sz w:val="18"/>
                <w:szCs w:val="18"/>
              </w:rPr>
            </w:pPr>
          </w:p>
        </w:tc>
        <w:tc>
          <w:tcPr>
            <w:tcW w:w="2835" w:type="dxa"/>
            <w:vAlign w:val="bottom"/>
            <w:hideMark/>
          </w:tcPr>
          <w:p w:rsidR="001A322F" w:rsidRPr="004B3AC1" w:rsidRDefault="001A322F" w:rsidP="00A11C87">
            <w:pPr>
              <w:spacing w:after="0" w:line="240" w:lineRule="auto"/>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Total deuda pública con garantía</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306,931,762</w:t>
            </w:r>
          </w:p>
        </w:tc>
        <w:tc>
          <w:tcPr>
            <w:tcW w:w="1559"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0</w:t>
            </w:r>
          </w:p>
        </w:tc>
        <w:tc>
          <w:tcPr>
            <w:tcW w:w="1534" w:type="dxa"/>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25,453,196</w:t>
            </w:r>
          </w:p>
        </w:tc>
      </w:tr>
      <w:tr w:rsidR="001A322F" w:rsidRPr="004B3AC1" w:rsidTr="001A322F">
        <w:trPr>
          <w:trHeight w:val="300"/>
        </w:trPr>
        <w:tc>
          <w:tcPr>
            <w:tcW w:w="1438" w:type="dxa"/>
            <w:shd w:val="clear" w:color="auto" w:fill="BFBFBF"/>
            <w:noWrap/>
            <w:vAlign w:val="bottom"/>
            <w:hideMark/>
          </w:tcPr>
          <w:p w:rsidR="001A322F" w:rsidRPr="004B3AC1" w:rsidRDefault="001A322F" w:rsidP="00A11C87">
            <w:pPr>
              <w:spacing w:after="0" w:line="240" w:lineRule="auto"/>
              <w:rPr>
                <w:rFonts w:ascii="Arial" w:eastAsia="Times New Roman" w:hAnsi="Arial" w:cs="Arial"/>
                <w:b/>
                <w:bCs/>
                <w:color w:val="000000"/>
                <w:sz w:val="18"/>
                <w:szCs w:val="18"/>
                <w:lang w:eastAsia="es-MX"/>
              </w:rPr>
            </w:pPr>
            <w:r w:rsidRPr="004B3AC1">
              <w:rPr>
                <w:rFonts w:ascii="Arial" w:eastAsia="Times New Roman" w:hAnsi="Arial" w:cs="Arial"/>
                <w:b/>
                <w:bCs/>
                <w:color w:val="000000"/>
                <w:sz w:val="18"/>
                <w:szCs w:val="18"/>
                <w:lang w:eastAsia="es-MX"/>
              </w:rPr>
              <w:t>Total</w:t>
            </w:r>
          </w:p>
        </w:tc>
        <w:tc>
          <w:tcPr>
            <w:tcW w:w="2835" w:type="dxa"/>
            <w:shd w:val="clear" w:color="auto" w:fill="BFBFBF"/>
            <w:noWrap/>
            <w:vAlign w:val="bottom"/>
            <w:hideMark/>
          </w:tcPr>
          <w:p w:rsidR="001A322F" w:rsidRPr="004B3AC1" w:rsidRDefault="001A322F" w:rsidP="00A11C87">
            <w:pPr>
              <w:spacing w:after="0"/>
              <w:rPr>
                <w:rFonts w:ascii="Arial" w:hAnsi="Arial" w:cs="Arial"/>
                <w:sz w:val="18"/>
                <w:szCs w:val="18"/>
              </w:rPr>
            </w:pPr>
          </w:p>
        </w:tc>
        <w:tc>
          <w:tcPr>
            <w:tcW w:w="1559" w:type="dxa"/>
            <w:shd w:val="clear" w:color="auto" w:fill="BFBFBF"/>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4,422,251,396</w:t>
            </w:r>
          </w:p>
        </w:tc>
        <w:tc>
          <w:tcPr>
            <w:tcW w:w="1559" w:type="dxa"/>
            <w:shd w:val="clear" w:color="auto" w:fill="BFBFBF"/>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143,792,334</w:t>
            </w:r>
          </w:p>
        </w:tc>
        <w:tc>
          <w:tcPr>
            <w:tcW w:w="1534" w:type="dxa"/>
            <w:shd w:val="clear" w:color="auto" w:fill="BFBFBF"/>
            <w:noWrap/>
            <w:vAlign w:val="bottom"/>
            <w:hideMark/>
          </w:tcPr>
          <w:p w:rsidR="001A322F" w:rsidRPr="004B3AC1" w:rsidRDefault="001A322F" w:rsidP="00A11C87">
            <w:pPr>
              <w:spacing w:after="0" w:line="240" w:lineRule="auto"/>
              <w:jc w:val="right"/>
              <w:rPr>
                <w:rFonts w:ascii="Arial" w:eastAsia="Times New Roman" w:hAnsi="Arial" w:cs="Arial"/>
                <w:color w:val="000000"/>
                <w:sz w:val="18"/>
                <w:szCs w:val="18"/>
                <w:lang w:eastAsia="es-MX"/>
              </w:rPr>
            </w:pPr>
            <w:r w:rsidRPr="004B3AC1">
              <w:rPr>
                <w:rFonts w:ascii="Arial" w:eastAsia="Times New Roman" w:hAnsi="Arial" w:cs="Arial"/>
                <w:color w:val="000000"/>
                <w:sz w:val="18"/>
                <w:szCs w:val="18"/>
                <w:lang w:eastAsia="es-MX"/>
              </w:rPr>
              <w:t>615,217,870.00</w:t>
            </w:r>
          </w:p>
        </w:tc>
      </w:tr>
      <w:tr w:rsidR="001A322F" w:rsidRPr="004B3AC1" w:rsidTr="00A11C87">
        <w:trPr>
          <w:trHeight w:val="300"/>
        </w:trPr>
        <w:tc>
          <w:tcPr>
            <w:tcW w:w="8925" w:type="dxa"/>
            <w:gridSpan w:val="5"/>
            <w:noWrap/>
            <w:vAlign w:val="bottom"/>
            <w:hideMark/>
          </w:tcPr>
          <w:p w:rsidR="001A322F" w:rsidRPr="004B3AC1" w:rsidRDefault="001A322F" w:rsidP="00A11C87">
            <w:pPr>
              <w:spacing w:after="0"/>
              <w:rPr>
                <w:rFonts w:ascii="Arial" w:hAnsi="Arial" w:cs="Arial"/>
                <w:sz w:val="18"/>
                <w:szCs w:val="18"/>
              </w:rPr>
            </w:pPr>
          </w:p>
        </w:tc>
      </w:tr>
      <w:tr w:rsidR="001A322F" w:rsidRPr="004B3AC1" w:rsidTr="001A322F">
        <w:trPr>
          <w:trHeight w:val="330"/>
        </w:trPr>
        <w:tc>
          <w:tcPr>
            <w:tcW w:w="8925" w:type="dxa"/>
            <w:gridSpan w:val="5"/>
            <w:noWrap/>
            <w:vAlign w:val="bottom"/>
            <w:hideMark/>
          </w:tcPr>
          <w:p w:rsidR="001A322F" w:rsidRPr="004B3AC1" w:rsidRDefault="001A322F" w:rsidP="00A11C87">
            <w:pPr>
              <w:spacing w:after="0" w:line="240" w:lineRule="auto"/>
              <w:rPr>
                <w:rFonts w:ascii="Arial" w:eastAsia="Times New Roman" w:hAnsi="Arial" w:cs="Arial"/>
                <w:color w:val="000000"/>
                <w:sz w:val="16"/>
                <w:szCs w:val="16"/>
                <w:lang w:eastAsia="es-MX"/>
              </w:rPr>
            </w:pPr>
            <w:r w:rsidRPr="004B3AC1">
              <w:rPr>
                <w:rFonts w:ascii="Arial" w:eastAsia="Times New Roman" w:hAnsi="Arial" w:cs="Arial"/>
                <w:color w:val="000000"/>
                <w:sz w:val="16"/>
                <w:szCs w:val="16"/>
                <w:vertAlign w:val="superscript"/>
                <w:lang w:eastAsia="es-MX"/>
              </w:rPr>
              <w:t>1</w:t>
            </w:r>
            <w:r w:rsidRPr="004B3AC1">
              <w:rPr>
                <w:rFonts w:ascii="Arial" w:eastAsia="Times New Roman" w:hAnsi="Arial" w:cs="Arial"/>
                <w:color w:val="000000"/>
                <w:sz w:val="16"/>
                <w:szCs w:val="16"/>
                <w:lang w:eastAsia="es-MX"/>
              </w:rPr>
              <w:t>El monto de las amortizaciones puede variar de acuerdo al perfil de amortización que se determine durante el proceso de reestructura y/o refinanciamiento.</w:t>
            </w:r>
          </w:p>
        </w:tc>
      </w:tr>
      <w:tr w:rsidR="001A322F" w:rsidRPr="004B3AC1" w:rsidTr="001A322F">
        <w:trPr>
          <w:trHeight w:val="330"/>
        </w:trPr>
        <w:tc>
          <w:tcPr>
            <w:tcW w:w="8925" w:type="dxa"/>
            <w:gridSpan w:val="5"/>
            <w:noWrap/>
            <w:vAlign w:val="bottom"/>
            <w:hideMark/>
          </w:tcPr>
          <w:p w:rsidR="001A322F" w:rsidRPr="004B3AC1" w:rsidRDefault="001A322F" w:rsidP="00A11C87">
            <w:pPr>
              <w:spacing w:after="0" w:line="240" w:lineRule="auto"/>
              <w:rPr>
                <w:rFonts w:ascii="Arial" w:eastAsia="Times New Roman" w:hAnsi="Arial" w:cs="Arial"/>
                <w:color w:val="000000"/>
                <w:sz w:val="16"/>
                <w:szCs w:val="16"/>
                <w:lang w:eastAsia="es-MX"/>
              </w:rPr>
            </w:pPr>
            <w:r w:rsidRPr="004B3AC1">
              <w:rPr>
                <w:rFonts w:ascii="Arial" w:eastAsia="Times New Roman" w:hAnsi="Arial" w:cs="Arial"/>
                <w:color w:val="000000"/>
                <w:sz w:val="16"/>
                <w:szCs w:val="16"/>
                <w:vertAlign w:val="superscript"/>
                <w:lang w:eastAsia="es-MX"/>
              </w:rPr>
              <w:t>2</w:t>
            </w:r>
            <w:r w:rsidRPr="004B3AC1">
              <w:rPr>
                <w:rFonts w:ascii="Arial" w:eastAsia="Times New Roman" w:hAnsi="Arial" w:cs="Arial"/>
                <w:color w:val="000000"/>
                <w:sz w:val="16"/>
                <w:szCs w:val="16"/>
                <w:lang w:eastAsia="es-MX"/>
              </w:rPr>
              <w:t>El servicio de la deuda considera intereses, gastos y costos de cobertura de la deuda</w:t>
            </w:r>
          </w:p>
        </w:tc>
      </w:tr>
    </w:tbl>
    <w:p w:rsidR="00282B00" w:rsidRPr="004B3AC1" w:rsidRDefault="00282B00" w:rsidP="00937932">
      <w:pPr>
        <w:tabs>
          <w:tab w:val="right" w:pos="8498"/>
        </w:tabs>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cumplimiento a lo establecido en el artículo 52, fracción V, de la Ley del Presupuesto y Contabilidad Gubernamental del Estado de Yucatán, se anexa el calendario de amortizaciones de los siguien</w:t>
      </w:r>
      <w:r w:rsidR="009B1A8D" w:rsidRPr="004B3AC1">
        <w:rPr>
          <w:rFonts w:ascii="Arial" w:hAnsi="Arial" w:cs="Arial"/>
          <w:sz w:val="24"/>
          <w:szCs w:val="24"/>
        </w:rPr>
        <w:t xml:space="preserve">tes ejercicios fiscales (anexo </w:t>
      </w:r>
      <w:r w:rsidRPr="004B3AC1">
        <w:rPr>
          <w:rFonts w:ascii="Arial" w:hAnsi="Arial" w:cs="Arial"/>
          <w:sz w:val="24"/>
          <w:szCs w:val="24"/>
        </w:rPr>
        <w:t>II).</w:t>
      </w:r>
    </w:p>
    <w:p w:rsidR="00282B00" w:rsidRPr="004B3AC1" w:rsidRDefault="00282B00" w:rsidP="0093793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El financiamiento neto será de </w:t>
      </w:r>
      <w:r w:rsidR="000F6A82" w:rsidRPr="004B3AC1">
        <w:rPr>
          <w:rFonts w:ascii="Arial" w:hAnsi="Arial"/>
          <w:sz w:val="24"/>
        </w:rPr>
        <w:t>$1,860,207,666.00.</w:t>
      </w:r>
      <w:r w:rsidR="009215B7" w:rsidRPr="004B3AC1">
        <w:rPr>
          <w:rFonts w:ascii="Arial" w:hAnsi="Arial"/>
          <w:sz w:val="24"/>
        </w:rPr>
        <w:t xml:space="preserve"> </w:t>
      </w:r>
      <w:r w:rsidRPr="004B3AC1">
        <w:rPr>
          <w:rFonts w:ascii="Arial" w:hAnsi="Arial" w:cs="Arial"/>
          <w:sz w:val="24"/>
          <w:szCs w:val="24"/>
        </w:rPr>
        <w:t xml:space="preserve">Dicha cantidad podrá verse modificada derivada de los procesos competitivos de las reestructuraciones o refinanciamientos autorizados en esta </w:t>
      </w:r>
      <w:r w:rsidR="00130808" w:rsidRPr="004B3AC1">
        <w:rPr>
          <w:rFonts w:ascii="Arial" w:hAnsi="Arial" w:cs="Arial"/>
          <w:sz w:val="24"/>
          <w:szCs w:val="24"/>
        </w:rPr>
        <w:t>l</w:t>
      </w:r>
      <w:r w:rsidRPr="004B3AC1">
        <w:rPr>
          <w:rFonts w:ascii="Arial" w:hAnsi="Arial" w:cs="Arial"/>
          <w:sz w:val="24"/>
          <w:szCs w:val="24"/>
        </w:rPr>
        <w:t>ey.</w:t>
      </w:r>
    </w:p>
    <w:p w:rsidR="00130808" w:rsidRPr="004B3AC1" w:rsidRDefault="00130808" w:rsidP="00130808">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Para el ejercicio fiscal 2020, no se programa la contratación de endeudamiento adicional. </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Artículo 5. Reestructura o refinanciamiento de deuda</w:t>
      </w:r>
    </w:p>
    <w:p w:rsidR="00282B00" w:rsidRPr="004B3AC1" w:rsidRDefault="00282B00" w:rsidP="00EF3102">
      <w:pPr>
        <w:pStyle w:val="Ttulo3"/>
        <w:shd w:val="clear" w:color="auto" w:fill="FFFFFF"/>
        <w:jc w:val="both"/>
        <w:rPr>
          <w:rFonts w:ascii="Arial" w:eastAsia="Calibri" w:hAnsi="Arial" w:cs="Arial"/>
          <w:b w:val="0"/>
          <w:bCs w:val="0"/>
          <w:sz w:val="24"/>
          <w:szCs w:val="24"/>
          <w:lang w:val="es-ES" w:eastAsia="en-US"/>
        </w:rPr>
      </w:pPr>
      <w:r w:rsidRPr="004B3AC1">
        <w:rPr>
          <w:rFonts w:ascii="Arial" w:eastAsia="Calibri" w:hAnsi="Arial" w:cs="Arial"/>
          <w:b w:val="0"/>
          <w:bCs w:val="0"/>
          <w:sz w:val="24"/>
          <w:szCs w:val="24"/>
          <w:lang w:val="es-ES" w:eastAsia="en-US"/>
        </w:rPr>
        <w:t xml:space="preserve">Con base en el análisis de la capacidad de pago del </w:t>
      </w:r>
      <w:r w:rsidR="00130808" w:rsidRPr="004B3AC1">
        <w:rPr>
          <w:rFonts w:ascii="Arial" w:eastAsia="Calibri" w:hAnsi="Arial" w:cs="Arial"/>
          <w:b w:val="0"/>
          <w:bCs w:val="0"/>
          <w:sz w:val="24"/>
          <w:szCs w:val="24"/>
          <w:lang w:val="es-ES" w:eastAsia="en-US"/>
        </w:rPr>
        <w:t>e</w:t>
      </w:r>
      <w:r w:rsidRPr="004B3AC1">
        <w:rPr>
          <w:rFonts w:ascii="Arial" w:eastAsia="Calibri" w:hAnsi="Arial" w:cs="Arial"/>
          <w:b w:val="0"/>
          <w:bCs w:val="0"/>
          <w:sz w:val="24"/>
          <w:szCs w:val="24"/>
          <w:lang w:val="es-ES" w:eastAsia="en-US"/>
        </w:rPr>
        <w:t>stado de Yucatán, el destino de los financiamientos, la situación de la deuda pública y de los recursos a otorgarse como fuente de pago, se autoriza al Poder Ejecutivo del Estado de Yucatán para que, por conducto de la Secretaría de Administración y Finanzas</w:t>
      </w:r>
      <w:r w:rsidR="00130808" w:rsidRPr="004B3AC1">
        <w:rPr>
          <w:rFonts w:ascii="Arial" w:eastAsia="Calibri" w:hAnsi="Arial" w:cs="Arial"/>
          <w:b w:val="0"/>
          <w:bCs w:val="0"/>
          <w:sz w:val="24"/>
          <w:szCs w:val="24"/>
          <w:lang w:val="es-ES" w:eastAsia="en-US"/>
        </w:rPr>
        <w:t xml:space="preserve"> realice lo siguiente</w:t>
      </w:r>
      <w:r w:rsidRPr="004B3AC1">
        <w:rPr>
          <w:rFonts w:ascii="Arial" w:eastAsia="Calibri" w:hAnsi="Arial" w:cs="Arial"/>
          <w:b w:val="0"/>
          <w:bCs w:val="0"/>
          <w:sz w:val="24"/>
          <w:szCs w:val="24"/>
          <w:lang w:val="es-ES" w:eastAsia="en-US"/>
        </w:rPr>
        <w:t xml:space="preserve">: </w:t>
      </w:r>
    </w:p>
    <w:p w:rsidR="00282B00" w:rsidRPr="004B3AC1" w:rsidRDefault="00697BE9" w:rsidP="00EF3102">
      <w:pPr>
        <w:pStyle w:val="Ttulo3"/>
        <w:shd w:val="clear" w:color="auto" w:fill="FFFFFF"/>
        <w:ind w:firstLine="709"/>
        <w:jc w:val="both"/>
        <w:rPr>
          <w:rFonts w:ascii="Arial" w:eastAsia="Calibri" w:hAnsi="Arial" w:cs="Arial"/>
          <w:b w:val="0"/>
          <w:bCs w:val="0"/>
          <w:sz w:val="24"/>
          <w:szCs w:val="24"/>
          <w:lang w:val="es-ES" w:eastAsia="en-US"/>
        </w:rPr>
      </w:pPr>
      <w:r w:rsidRPr="004B3AC1">
        <w:rPr>
          <w:rFonts w:ascii="Arial" w:eastAsia="Calibri" w:hAnsi="Arial" w:cs="Arial"/>
          <w:b w:val="0"/>
          <w:bCs w:val="0"/>
          <w:sz w:val="24"/>
          <w:szCs w:val="24"/>
          <w:lang w:val="es-ES" w:eastAsia="en-US"/>
        </w:rPr>
        <w:t xml:space="preserve">I. </w:t>
      </w:r>
      <w:r w:rsidR="00282B00" w:rsidRPr="004B3AC1">
        <w:rPr>
          <w:rFonts w:ascii="Arial" w:eastAsia="Calibri" w:hAnsi="Arial" w:cs="Arial"/>
          <w:b w:val="0"/>
          <w:bCs w:val="0"/>
          <w:sz w:val="24"/>
          <w:szCs w:val="24"/>
          <w:lang w:val="es-ES" w:eastAsia="en-US"/>
        </w:rPr>
        <w:t xml:space="preserve">Celebre una o más operaciones de crédito con un plazo de pago de hasta </w:t>
      </w:r>
      <w:r w:rsidR="00130808" w:rsidRPr="004B3AC1">
        <w:rPr>
          <w:rFonts w:ascii="Arial" w:eastAsia="Calibri" w:hAnsi="Arial" w:cs="Arial"/>
          <w:b w:val="0"/>
          <w:bCs w:val="0"/>
          <w:sz w:val="24"/>
          <w:szCs w:val="24"/>
          <w:lang w:val="es-ES" w:eastAsia="en-US"/>
        </w:rPr>
        <w:t xml:space="preserve">veinte años </w:t>
      </w:r>
      <w:r w:rsidR="00282B00" w:rsidRPr="004B3AC1">
        <w:rPr>
          <w:rFonts w:ascii="Arial" w:eastAsia="Calibri" w:hAnsi="Arial" w:cs="Arial"/>
          <w:b w:val="0"/>
          <w:bCs w:val="0"/>
          <w:sz w:val="24"/>
          <w:szCs w:val="24"/>
          <w:lang w:val="es-ES" w:eastAsia="en-US"/>
        </w:rPr>
        <w:t>contados a partir de su celebración, cuyo destino será la reestructura o el refinanciamiento de los créditos celebrados previamente por el Estado con Banco Mercantil del Norte, S.A., el 20 de octubre de 2016, y con Banco Nacional de Obras y Servicios Públicos, S.N.C., celebrados con fecha 22 de julio de 2011, 8 de abril de 2013, 13 de noviembre de 2013 (modificado con fecha 21 de marzo de 2014) y 9 de noviembre de 2017; financiamientos identificados con las siguientes claves de inscripción en el Registro Público Único de Financiamientos y Obligaciones de Entidades Federativas y Municipios a cargo de la Secretaría de Hacienda y Crédito Público: A31-1016102, 392/2011, P31-0413037, P31-1113143,P31-1217118</w:t>
      </w:r>
      <w:r w:rsidR="00A36A4C" w:rsidRPr="004B3AC1">
        <w:rPr>
          <w:rFonts w:ascii="Arial" w:eastAsia="Calibri" w:hAnsi="Arial" w:cs="Arial"/>
          <w:b w:val="0"/>
          <w:bCs w:val="0"/>
          <w:sz w:val="24"/>
          <w:szCs w:val="24"/>
          <w:lang w:val="es-ES" w:eastAsia="en-US"/>
        </w:rPr>
        <w:t xml:space="preserve"> </w:t>
      </w:r>
      <w:r w:rsidR="00282B00" w:rsidRPr="004B3AC1">
        <w:rPr>
          <w:rFonts w:ascii="Arial" w:eastAsia="Calibri" w:hAnsi="Arial" w:cs="Arial"/>
          <w:b w:val="0"/>
          <w:bCs w:val="0"/>
          <w:sz w:val="24"/>
          <w:szCs w:val="24"/>
          <w:lang w:val="es-ES" w:eastAsia="en-US"/>
        </w:rPr>
        <w:t>por el saldo insoluto de los créditos antes citados, sin exceder de $3,499,959,633.61(</w:t>
      </w:r>
      <w:r w:rsidR="00130808" w:rsidRPr="004B3AC1">
        <w:rPr>
          <w:rFonts w:ascii="Arial" w:eastAsia="Calibri" w:hAnsi="Arial" w:cs="Arial"/>
          <w:b w:val="0"/>
          <w:bCs w:val="0"/>
          <w:sz w:val="24"/>
          <w:szCs w:val="24"/>
          <w:lang w:val="es-ES" w:eastAsia="en-US"/>
        </w:rPr>
        <w:t>t</w:t>
      </w:r>
      <w:r w:rsidR="00282B00" w:rsidRPr="004B3AC1">
        <w:rPr>
          <w:rFonts w:ascii="Arial" w:eastAsia="Calibri" w:hAnsi="Arial" w:cs="Arial"/>
          <w:b w:val="0"/>
          <w:bCs w:val="0"/>
          <w:sz w:val="24"/>
          <w:szCs w:val="24"/>
          <w:lang w:val="es-ES" w:eastAsia="en-US"/>
        </w:rPr>
        <w:t>res mil cuatrocientos noventa y nueve millones novecientos cincuenta y nueve mil seiscientos treinta y tres pesos 61/100 M.N.), para el caso de créditos amortizables (A31-1016102, 392/2011, P31-1113143 y P31-1217118) y de $286,891,458.00 (</w:t>
      </w:r>
      <w:r w:rsidR="00130808" w:rsidRPr="004B3AC1">
        <w:rPr>
          <w:rFonts w:ascii="Arial" w:eastAsia="Calibri" w:hAnsi="Arial" w:cs="Arial"/>
          <w:b w:val="0"/>
          <w:bCs w:val="0"/>
          <w:sz w:val="24"/>
          <w:szCs w:val="24"/>
          <w:lang w:val="es-ES" w:eastAsia="en-US"/>
        </w:rPr>
        <w:t>d</w:t>
      </w:r>
      <w:r w:rsidR="00282B00" w:rsidRPr="004B3AC1">
        <w:rPr>
          <w:rFonts w:ascii="Arial" w:eastAsia="Calibri" w:hAnsi="Arial" w:cs="Arial"/>
          <w:b w:val="0"/>
          <w:bCs w:val="0"/>
          <w:sz w:val="24"/>
          <w:szCs w:val="24"/>
          <w:lang w:val="es-ES" w:eastAsia="en-US"/>
        </w:rPr>
        <w:t xml:space="preserve">oscientos ochenta y seis millones ochocientos noventa y un mil cuatrocientos cincuenta y ocho pesos 00/100 M.N.), para el caso del crédito garantizado con bono cupón cero (P31-0413037). </w:t>
      </w:r>
    </w:p>
    <w:p w:rsidR="00282B00" w:rsidRPr="004B3AC1" w:rsidRDefault="00697BE9" w:rsidP="00EF3102">
      <w:pPr>
        <w:pStyle w:val="Ttulo3"/>
        <w:shd w:val="clear" w:color="auto" w:fill="FFFFFF"/>
        <w:ind w:firstLine="709"/>
        <w:jc w:val="both"/>
        <w:rPr>
          <w:rFonts w:ascii="Arial" w:eastAsia="Calibri" w:hAnsi="Arial" w:cs="Arial"/>
          <w:b w:val="0"/>
          <w:bCs w:val="0"/>
          <w:sz w:val="24"/>
          <w:szCs w:val="24"/>
          <w:lang w:val="es-ES" w:eastAsia="en-US"/>
        </w:rPr>
      </w:pPr>
      <w:r w:rsidRPr="004B3AC1">
        <w:rPr>
          <w:rFonts w:ascii="Arial" w:eastAsia="Calibri" w:hAnsi="Arial" w:cs="Arial"/>
          <w:b w:val="0"/>
          <w:bCs w:val="0"/>
          <w:sz w:val="24"/>
          <w:szCs w:val="24"/>
          <w:lang w:val="es-ES" w:eastAsia="en-US"/>
        </w:rPr>
        <w:t xml:space="preserve">II. </w:t>
      </w:r>
      <w:r w:rsidR="00282B00" w:rsidRPr="004B3AC1">
        <w:rPr>
          <w:rFonts w:ascii="Arial" w:eastAsia="Calibri" w:hAnsi="Arial" w:cs="Arial"/>
          <w:b w:val="0"/>
          <w:bCs w:val="0"/>
          <w:sz w:val="24"/>
          <w:szCs w:val="24"/>
          <w:lang w:val="es-ES" w:eastAsia="en-US"/>
        </w:rPr>
        <w:t xml:space="preserve">Afecte, como fuente de pago de las nuevas operaciones crediticias autorizadas el porcentaje necesario y suficiente de las participaciones que en ingresos federales correspondan al </w:t>
      </w:r>
      <w:r w:rsidR="00130808" w:rsidRPr="004B3AC1">
        <w:rPr>
          <w:rFonts w:ascii="Arial" w:eastAsia="Calibri" w:hAnsi="Arial" w:cs="Arial"/>
          <w:b w:val="0"/>
          <w:bCs w:val="0"/>
          <w:sz w:val="24"/>
          <w:szCs w:val="24"/>
          <w:lang w:val="es-ES" w:eastAsia="en-US"/>
        </w:rPr>
        <w:t>e</w:t>
      </w:r>
      <w:r w:rsidR="00282B00" w:rsidRPr="004B3AC1">
        <w:rPr>
          <w:rFonts w:ascii="Arial" w:eastAsia="Calibri" w:hAnsi="Arial" w:cs="Arial"/>
          <w:b w:val="0"/>
          <w:bCs w:val="0"/>
          <w:sz w:val="24"/>
          <w:szCs w:val="24"/>
          <w:lang w:val="es-ES" w:eastAsia="en-US"/>
        </w:rPr>
        <w:t>stado de Yucatán del Fondo General de Partic</w:t>
      </w:r>
      <w:r w:rsidR="009537A0" w:rsidRPr="004B3AC1">
        <w:rPr>
          <w:rFonts w:ascii="Arial" w:eastAsia="Calibri" w:hAnsi="Arial" w:cs="Arial"/>
          <w:b w:val="0"/>
          <w:bCs w:val="0"/>
          <w:sz w:val="24"/>
          <w:szCs w:val="24"/>
          <w:lang w:val="es-ES" w:eastAsia="en-US"/>
        </w:rPr>
        <w:t>ipaciones (parte del Ramo 28)</w:t>
      </w:r>
      <w:r w:rsidR="004B673A" w:rsidRPr="004B3AC1">
        <w:rPr>
          <w:rFonts w:ascii="Arial" w:eastAsia="Calibri" w:hAnsi="Arial" w:cs="Arial"/>
          <w:b w:val="0"/>
          <w:bCs w:val="0"/>
          <w:sz w:val="24"/>
          <w:szCs w:val="24"/>
          <w:lang w:val="es-ES" w:eastAsia="en-US"/>
        </w:rPr>
        <w:t xml:space="preserve"> o de ingresos propios </w:t>
      </w:r>
      <w:r w:rsidR="00282B00" w:rsidRPr="004B3AC1">
        <w:rPr>
          <w:rFonts w:ascii="Arial" w:eastAsia="Calibri" w:hAnsi="Arial" w:cs="Arial"/>
          <w:b w:val="0"/>
          <w:bCs w:val="0"/>
          <w:sz w:val="24"/>
          <w:szCs w:val="24"/>
          <w:lang w:val="es-ES" w:eastAsia="en-US"/>
        </w:rPr>
        <w:t xml:space="preserve">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alguno de los fideicomisos previamente ya constituidos para el servicio de la deuda pública del </w:t>
      </w:r>
      <w:r w:rsidR="00130808" w:rsidRPr="004B3AC1">
        <w:rPr>
          <w:rFonts w:ascii="Arial" w:eastAsia="Calibri" w:hAnsi="Arial" w:cs="Arial"/>
          <w:b w:val="0"/>
          <w:bCs w:val="0"/>
          <w:sz w:val="24"/>
          <w:szCs w:val="24"/>
          <w:lang w:val="es-ES" w:eastAsia="en-US"/>
        </w:rPr>
        <w:t>e</w:t>
      </w:r>
      <w:r w:rsidR="00282B00" w:rsidRPr="004B3AC1">
        <w:rPr>
          <w:rFonts w:ascii="Arial" w:eastAsia="Calibri" w:hAnsi="Arial" w:cs="Arial"/>
          <w:b w:val="0"/>
          <w:bCs w:val="0"/>
          <w:sz w:val="24"/>
          <w:szCs w:val="24"/>
          <w:lang w:val="es-ES" w:eastAsia="en-US"/>
        </w:rPr>
        <w:t>stado.</w:t>
      </w:r>
    </w:p>
    <w:p w:rsidR="00282B00" w:rsidRPr="004B3AC1" w:rsidRDefault="00697BE9" w:rsidP="00EF3102">
      <w:pPr>
        <w:pStyle w:val="Ttulo3"/>
        <w:shd w:val="clear" w:color="auto" w:fill="FFFFFF"/>
        <w:ind w:firstLine="709"/>
        <w:jc w:val="both"/>
        <w:rPr>
          <w:rFonts w:ascii="Arial" w:eastAsia="Calibri" w:hAnsi="Arial" w:cs="Arial"/>
          <w:b w:val="0"/>
          <w:bCs w:val="0"/>
          <w:sz w:val="24"/>
          <w:szCs w:val="24"/>
          <w:lang w:val="es-ES" w:eastAsia="en-US"/>
        </w:rPr>
      </w:pPr>
      <w:r w:rsidRPr="004B3AC1">
        <w:rPr>
          <w:rFonts w:ascii="Arial" w:eastAsia="Calibri" w:hAnsi="Arial" w:cs="Arial"/>
          <w:b w:val="0"/>
          <w:bCs w:val="0"/>
          <w:sz w:val="24"/>
          <w:szCs w:val="24"/>
          <w:lang w:val="es-ES" w:eastAsia="en-US"/>
        </w:rPr>
        <w:t xml:space="preserve">III. </w:t>
      </w:r>
      <w:r w:rsidR="009537A0" w:rsidRPr="004B3AC1">
        <w:rPr>
          <w:rFonts w:ascii="Arial" w:eastAsia="Calibri" w:hAnsi="Arial" w:cs="Arial"/>
          <w:b w:val="0"/>
          <w:bCs w:val="0"/>
          <w:sz w:val="24"/>
          <w:szCs w:val="24"/>
          <w:lang w:val="es-ES" w:eastAsia="en-US"/>
        </w:rPr>
        <w:t>Contrate uno o más</w:t>
      </w:r>
      <w:r w:rsidR="00130808" w:rsidRPr="004B3AC1">
        <w:rPr>
          <w:rFonts w:ascii="Arial" w:eastAsia="Calibri" w:hAnsi="Arial" w:cs="Arial"/>
          <w:b w:val="0"/>
          <w:bCs w:val="0"/>
          <w:sz w:val="24"/>
          <w:szCs w:val="24"/>
          <w:lang w:val="es-ES" w:eastAsia="en-US"/>
        </w:rPr>
        <w:t xml:space="preserve">, </w:t>
      </w:r>
      <w:r w:rsidR="00282B00" w:rsidRPr="004B3AC1">
        <w:rPr>
          <w:rFonts w:ascii="Arial" w:eastAsia="Calibri" w:hAnsi="Arial" w:cs="Arial"/>
          <w:b w:val="0"/>
          <w:bCs w:val="0"/>
          <w:sz w:val="24"/>
          <w:szCs w:val="24"/>
          <w:lang w:val="es-ES" w:eastAsia="en-US"/>
        </w:rPr>
        <w:t>instrumentos derivados (contratos de cobertura o intercambio de tasas) que, en su caso, tendrán como fuente de pago los mismos ingresos asignados al financiamiento objeto de cobertura y para ello podrán ser inscritos en el mecanismo de pago respectivo.</w:t>
      </w:r>
      <w:r w:rsidR="00130808" w:rsidRPr="004B3AC1">
        <w:rPr>
          <w:rFonts w:ascii="Arial" w:eastAsia="Calibri" w:hAnsi="Arial" w:cs="Arial"/>
          <w:b w:val="0"/>
          <w:bCs w:val="0"/>
          <w:sz w:val="24"/>
          <w:szCs w:val="24"/>
          <w:lang w:val="es-ES" w:eastAsia="en-US"/>
        </w:rPr>
        <w:t xml:space="preserve"> Lo anterior en complemento de las operaciones que se señala en las fracciones I y II. </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el caso de operaciones de reestructura, se podrá pactar la modificación de las condiciones originales de contratación, incluyendo: perfil de amortización, ampliación del plazo de pago, tasa aplicable, adecuación de condiciones de hacer o no hacer, reducción de comisiones o gastos y liberación de garantías.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Los gastos y costos relacionados con la obtención de financiamiento se podrán contratar directamente o cubrir por medio del fideicomiso fuente de pago, sin exceder del 2.5% del importe de cada financiamiento, en términos del artículo 27 del Reglamento del Registro Público Único de Financiamientos y Obligaciones de Entidades Federativas; autorizándose las adecuaciones necesarias a las proyecciones de ingresos y de egresos del </w:t>
      </w:r>
      <w:r w:rsidR="00130808" w:rsidRPr="004B3AC1">
        <w:rPr>
          <w:rFonts w:ascii="Arial" w:hAnsi="Arial" w:cs="Arial"/>
          <w:sz w:val="24"/>
          <w:szCs w:val="24"/>
        </w:rPr>
        <w:t>e</w:t>
      </w:r>
      <w:r w:rsidRPr="004B3AC1">
        <w:rPr>
          <w:rFonts w:ascii="Arial" w:hAnsi="Arial" w:cs="Arial"/>
          <w:sz w:val="24"/>
          <w:szCs w:val="24"/>
        </w:rPr>
        <w:t>stado a paso y medida que se realicen las operaciones autorizadas.</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 xml:space="preserve">Artículo 6. Ingresos acumulados excedentes </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Los ingresos acumulados de los poderes Legislativo y Judicial, los órganos autónomos por disposición constitucional, las dependencias del Ejecutivo estatal y sus órganos administrativos desconcentrados, así como las entidades, que durante el ejercicio fiscal 2020 se obtengan en exceso de los aprobados en esta ley, se deberán aplicar en los términos de la Ley de Presupuesto y Contabilidad Gubernamental del Estado de Yucatán, su reglamento y la Ley de Disciplina Financiera de las Entidades Federativas y los Municipios, sin perjuicio de lo dispuesto en el artículo 8 de esta ley.</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 de conf</w:t>
      </w:r>
      <w:r w:rsidR="00BA37C0" w:rsidRPr="004B3AC1">
        <w:rPr>
          <w:rFonts w:ascii="Arial" w:hAnsi="Arial" w:cs="Arial"/>
          <w:sz w:val="24"/>
          <w:szCs w:val="24"/>
        </w:rPr>
        <w:t xml:space="preserve">ormidad con el párrafo </w:t>
      </w:r>
      <w:r w:rsidRPr="004B3AC1">
        <w:rPr>
          <w:rFonts w:ascii="Arial" w:hAnsi="Arial" w:cs="Arial"/>
          <w:sz w:val="24"/>
          <w:szCs w:val="24"/>
        </w:rPr>
        <w:t>tercero del inciso b) de la fracción II de dicho artículo.</w:t>
      </w:r>
    </w:p>
    <w:p w:rsidR="00282B00" w:rsidRPr="004B3AC1" w:rsidRDefault="00282B00"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Artículo 7. Convenios celebrados con el Gobierno federal</w:t>
      </w:r>
    </w:p>
    <w:p w:rsidR="00282B00" w:rsidRPr="004B3AC1" w:rsidRDefault="00282B00"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Las dependencias y entidades que celebren contratos o convenios con el Gobierno federal, los cuales impliquen ingresos para la Hacienda pública estatal, deberán remitir copia de dichos instrumentos legales a la Secretaría de Administración y Finanzas, </w:t>
      </w:r>
      <w:r w:rsidRPr="004B3AC1">
        <w:rPr>
          <w:rFonts w:ascii="Arial" w:hAnsi="Arial" w:cs="Arial"/>
          <w:sz w:val="24"/>
          <w:szCs w:val="24"/>
        </w:rPr>
        <w:t xml:space="preserve">dentro del plazo de diez días hábiles siguientes a su suscripción, </w:t>
      </w:r>
      <w:r w:rsidRPr="004B3AC1">
        <w:rPr>
          <w:rFonts w:ascii="Arial" w:eastAsia="Times New Roman" w:hAnsi="Arial" w:cs="Arial"/>
          <w:sz w:val="24"/>
          <w:szCs w:val="24"/>
          <w:lang w:eastAsia="es-MX"/>
        </w:rPr>
        <w:t>para efectos de conocer los montos de los ingresos que serán depositados a las cuentas de esta secretaría.</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Artículo 8. Participaciones municipales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El Poder Ejecutivo del estado, por conducto de la Secretaría de Administración y Finanzas, recibirá las participaciones que correspondan a los municipios, en aquellos casos en que las disposiciones relativas a la Ley de Coordinación Fiscal, la Ley General de Contabilidad Gubernamental y demás disposiciones normativas </w:t>
      </w:r>
      <w:r w:rsidR="00510B39" w:rsidRPr="004B3AC1">
        <w:rPr>
          <w:rFonts w:ascii="Arial" w:hAnsi="Arial" w:cs="Arial"/>
          <w:sz w:val="24"/>
          <w:szCs w:val="24"/>
        </w:rPr>
        <w:t xml:space="preserve">aplicables </w:t>
      </w:r>
      <w:r w:rsidRPr="004B3AC1">
        <w:rPr>
          <w:rFonts w:ascii="Arial" w:hAnsi="Arial" w:cs="Arial"/>
          <w:sz w:val="24"/>
          <w:szCs w:val="24"/>
        </w:rPr>
        <w:t>así lo determinen.</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eastAsia="Times New Roman" w:hAnsi="Arial" w:cs="Arial"/>
          <w:sz w:val="24"/>
          <w:szCs w:val="24"/>
          <w:lang w:eastAsia="es-MX"/>
        </w:rPr>
        <w:t xml:space="preserve">Para efectos de lo previsto en el artículo 115, fracción IV, inciso b), de la Constitución Política de los Estados Unidos Mexicanos, las bases, montos y plazos para la distribución de participaciones federales a los municipios del estado, son las que se </w:t>
      </w:r>
      <w:r w:rsidR="00510B39" w:rsidRPr="004B3AC1">
        <w:rPr>
          <w:rFonts w:ascii="Arial" w:eastAsia="Times New Roman" w:hAnsi="Arial" w:cs="Arial"/>
          <w:sz w:val="24"/>
          <w:szCs w:val="24"/>
          <w:lang w:eastAsia="es-MX"/>
        </w:rPr>
        <w:t>establecen en</w:t>
      </w:r>
      <w:r w:rsidRPr="004B3AC1">
        <w:rPr>
          <w:rFonts w:ascii="Arial" w:eastAsia="Times New Roman" w:hAnsi="Arial" w:cs="Arial"/>
          <w:sz w:val="24"/>
          <w:szCs w:val="24"/>
          <w:lang w:eastAsia="es-MX"/>
        </w:rPr>
        <w:t xml:space="preserve"> el capítulo II de la Ley de Coordinación Fiscal del Estado de Yucatán.</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 xml:space="preserve">Artículo 9. Calendario de ingresos </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Los entes públicos que reciban ingresos de los señalados en el artículo 2 de esta ley deberán formular su calendario de ingresos con base mensual, en los formatos que determine el Consejo Nacional de Armonización Contable y remitirlo a la Secretaría de Administración y Finanzas durante los primeros </w:t>
      </w:r>
      <w:r w:rsidR="006E09F2" w:rsidRPr="004B3AC1">
        <w:rPr>
          <w:rFonts w:ascii="Arial" w:hAnsi="Arial"/>
          <w:sz w:val="24"/>
        </w:rPr>
        <w:t>trece</w:t>
      </w:r>
      <w:r w:rsidRPr="004B3AC1">
        <w:rPr>
          <w:rFonts w:ascii="Arial" w:hAnsi="Arial" w:cs="Arial"/>
          <w:sz w:val="24"/>
          <w:szCs w:val="24"/>
        </w:rPr>
        <w:t xml:space="preserve"> días de enero. </w:t>
      </w:r>
    </w:p>
    <w:p w:rsidR="00282B00" w:rsidRPr="004B3AC1" w:rsidRDefault="00282B00" w:rsidP="00EF3102">
      <w:pPr>
        <w:tabs>
          <w:tab w:val="right" w:pos="8498"/>
        </w:tabs>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Secretaría de Administración y Finanzas publicará</w:t>
      </w:r>
      <w:r w:rsidR="006E09F2" w:rsidRPr="004B3AC1">
        <w:rPr>
          <w:rFonts w:ascii="Arial" w:hAnsi="Arial" w:cs="Arial"/>
          <w:sz w:val="24"/>
          <w:szCs w:val="24"/>
        </w:rPr>
        <w:t xml:space="preserve">, </w:t>
      </w:r>
      <w:r w:rsidR="006E09F2" w:rsidRPr="004B3AC1">
        <w:rPr>
          <w:rFonts w:ascii="Arial" w:hAnsi="Arial"/>
          <w:sz w:val="24"/>
        </w:rPr>
        <w:t xml:space="preserve">a más tardar el último día de enero, </w:t>
      </w:r>
      <w:r w:rsidR="006E09F2" w:rsidRPr="004B3AC1">
        <w:rPr>
          <w:rFonts w:ascii="Arial" w:hAnsi="Arial" w:cs="Arial"/>
          <w:sz w:val="24"/>
          <w:szCs w:val="24"/>
        </w:rPr>
        <w:t>en su sitio web</w:t>
      </w:r>
      <w:r w:rsidR="004F3C68" w:rsidRPr="004B3AC1">
        <w:rPr>
          <w:rFonts w:ascii="Arial" w:hAnsi="Arial" w:cs="Arial"/>
          <w:sz w:val="24"/>
          <w:szCs w:val="24"/>
        </w:rPr>
        <w:t xml:space="preserve"> </w:t>
      </w:r>
      <w:r w:rsidR="006E09F2" w:rsidRPr="004B3AC1">
        <w:rPr>
          <w:rFonts w:ascii="Arial" w:hAnsi="Arial"/>
          <w:sz w:val="24"/>
        </w:rPr>
        <w:t>el</w:t>
      </w:r>
      <w:r w:rsidRPr="004B3AC1">
        <w:rPr>
          <w:rFonts w:ascii="Arial" w:hAnsi="Arial" w:cs="Arial"/>
          <w:sz w:val="24"/>
          <w:szCs w:val="24"/>
        </w:rPr>
        <w:t xml:space="preserve"> calendario de ingresos con base mensual </w:t>
      </w:r>
      <w:r w:rsidR="006E09F2" w:rsidRPr="004B3AC1">
        <w:rPr>
          <w:rFonts w:ascii="Arial" w:hAnsi="Arial"/>
          <w:sz w:val="24"/>
        </w:rPr>
        <w:t>en los formatos que determine el Consejo Nacional de Armonización Contable y</w:t>
      </w:r>
      <w:r w:rsidR="00244C81" w:rsidRPr="004B3AC1">
        <w:rPr>
          <w:rFonts w:ascii="Arial" w:hAnsi="Arial"/>
          <w:sz w:val="24"/>
        </w:rPr>
        <w:t xml:space="preserve"> </w:t>
      </w:r>
      <w:r w:rsidRPr="004B3AC1">
        <w:rPr>
          <w:rFonts w:ascii="Arial" w:hAnsi="Arial" w:cs="Arial"/>
          <w:sz w:val="24"/>
          <w:szCs w:val="24"/>
        </w:rPr>
        <w:t>en los términos que señala el párrafo segundo del artículo 66 de la Ley General de Contabilidad Gubernamental.</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Artículo 10. Aprovechamientos</w:t>
      </w:r>
    </w:p>
    <w:p w:rsidR="003A661A" w:rsidRPr="004B3AC1" w:rsidRDefault="003A661A" w:rsidP="003A661A">
      <w:pPr>
        <w:spacing w:before="100" w:beforeAutospacing="1" w:after="100" w:afterAutospacing="1" w:line="240" w:lineRule="auto"/>
        <w:jc w:val="both"/>
        <w:rPr>
          <w:rFonts w:ascii="Arial" w:hAnsi="Arial"/>
          <w:sz w:val="24"/>
        </w:rPr>
      </w:pPr>
      <w:r w:rsidRPr="004B3AC1">
        <w:rPr>
          <w:rFonts w:ascii="Arial" w:hAnsi="Arial"/>
          <w:sz w:val="24"/>
        </w:rPr>
        <w:t>Las cuotas de los ap</w:t>
      </w:r>
      <w:r w:rsidR="004C2CFC" w:rsidRPr="004B3AC1">
        <w:rPr>
          <w:rFonts w:ascii="Arial" w:hAnsi="Arial"/>
          <w:sz w:val="24"/>
        </w:rPr>
        <w:t xml:space="preserve">rovechamientos que se autoricen, conforme a lo establecido en la normativa aplicable, </w:t>
      </w:r>
      <w:r w:rsidRPr="004B3AC1">
        <w:rPr>
          <w:rFonts w:ascii="Arial" w:hAnsi="Arial"/>
          <w:sz w:val="24"/>
        </w:rPr>
        <w:t>durante el ejercicio fiscal 2020 sólo surtirán sus efectos para ese año. Las dependencias y entidades que cobren aprovechamientos durante el ejercicio fiscal 2020 deberán informarlo a la Secretaría de Administración y Finanzas.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tanto no sean autorizados los aprovechamientos a que se refiere este artículo para el ejercicio fiscal 2020, se aplicarán los vigentes al 31 de diciembre de 2019.</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En relación con los aprovechamientos que en el ejercicio inmediato anterior se hayan fijado en porcentajes, se continuarán aplicando durante el ejercicio fiscal 2020 los porcentajes autorizados que se encuentren vigentes al 31 de diciembre de 2019, hasta en tanto, </w:t>
      </w:r>
      <w:r w:rsidR="00F3150D" w:rsidRPr="004B3AC1">
        <w:rPr>
          <w:rFonts w:ascii="Arial" w:hAnsi="Arial"/>
          <w:sz w:val="24"/>
        </w:rPr>
        <w:t>no se</w:t>
      </w:r>
      <w:r w:rsidR="00F3150D" w:rsidRPr="004B3AC1">
        <w:rPr>
          <w:rFonts w:ascii="Arial" w:hAnsi="Arial" w:cs="Arial"/>
          <w:sz w:val="24"/>
          <w:szCs w:val="24"/>
        </w:rPr>
        <w:t xml:space="preserve"> emita </w:t>
      </w:r>
      <w:r w:rsidRPr="004B3AC1">
        <w:rPr>
          <w:rFonts w:ascii="Arial" w:hAnsi="Arial" w:cs="Arial"/>
          <w:sz w:val="24"/>
          <w:szCs w:val="24"/>
        </w:rPr>
        <w:t>autorización para el 2020.</w:t>
      </w:r>
    </w:p>
    <w:p w:rsidR="00282B00" w:rsidRPr="004B3AC1" w:rsidRDefault="00510B39"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Con respecto </w:t>
      </w:r>
      <w:r w:rsidR="00282B00" w:rsidRPr="004B3AC1">
        <w:rPr>
          <w:rFonts w:ascii="Arial" w:hAnsi="Arial" w:cs="Arial"/>
          <w:sz w:val="24"/>
          <w:szCs w:val="24"/>
        </w:rPr>
        <w:t>a los aprovechamientos que no hayan sido cobrados en el ejercicio inmediato anterior o que no se cobren de manera regular, las dependencias</w:t>
      </w:r>
      <w:r w:rsidRPr="004B3AC1">
        <w:rPr>
          <w:rFonts w:ascii="Arial" w:hAnsi="Arial" w:cs="Arial"/>
          <w:sz w:val="24"/>
          <w:szCs w:val="24"/>
        </w:rPr>
        <w:t xml:space="preserve"> </w:t>
      </w:r>
      <w:r w:rsidR="00282B00" w:rsidRPr="004B3AC1">
        <w:rPr>
          <w:rFonts w:ascii="Arial" w:hAnsi="Arial" w:cs="Arial"/>
          <w:sz w:val="24"/>
          <w:szCs w:val="24"/>
        </w:rPr>
        <w:t xml:space="preserve">interesadas deberán someter para su autorización, a la Secretaría de Administración y Finanzas el monto de los aprovechamientos que pretendan cobrar, en un plazo no menor a diez días hábiles anteriores a la fecha de su entrada en vigor. </w:t>
      </w:r>
    </w:p>
    <w:p w:rsidR="00282B00" w:rsidRPr="004B3AC1" w:rsidRDefault="00282B00" w:rsidP="00EF3102">
      <w:pPr>
        <w:spacing w:before="100" w:beforeAutospacing="1" w:after="100" w:afterAutospacing="1" w:line="240" w:lineRule="auto"/>
        <w:rPr>
          <w:rFonts w:ascii="Arial" w:hAnsi="Arial" w:cs="Arial"/>
          <w:sz w:val="24"/>
          <w:szCs w:val="24"/>
        </w:rPr>
      </w:pPr>
      <w:r w:rsidRPr="004B3AC1">
        <w:rPr>
          <w:rFonts w:ascii="Arial" w:hAnsi="Arial" w:cs="Arial"/>
          <w:b/>
          <w:sz w:val="24"/>
          <w:szCs w:val="24"/>
        </w:rPr>
        <w:t>Artículo 11. Productos</w:t>
      </w:r>
    </w:p>
    <w:p w:rsidR="00F3150D" w:rsidRPr="004B3AC1" w:rsidRDefault="00F3150D" w:rsidP="00F3150D">
      <w:pPr>
        <w:spacing w:before="100" w:beforeAutospacing="1" w:after="100" w:afterAutospacing="1" w:line="240" w:lineRule="auto"/>
        <w:jc w:val="both"/>
        <w:rPr>
          <w:rFonts w:ascii="Arial" w:hAnsi="Arial"/>
          <w:sz w:val="24"/>
        </w:rPr>
      </w:pPr>
      <w:r w:rsidRPr="004B3AC1">
        <w:rPr>
          <w:rFonts w:ascii="Arial" w:hAnsi="Arial"/>
          <w:sz w:val="24"/>
        </w:rPr>
        <w:t>Las cuotas de los productos</w:t>
      </w:r>
      <w:r w:rsidR="004C2CFC" w:rsidRPr="004B3AC1">
        <w:rPr>
          <w:rFonts w:ascii="Arial" w:hAnsi="Arial"/>
          <w:sz w:val="24"/>
        </w:rPr>
        <w:t xml:space="preserve"> que se autoricen, conforme a lo establecido en la normativa aplicable, </w:t>
      </w:r>
      <w:r w:rsidRPr="004B3AC1">
        <w:rPr>
          <w:rFonts w:ascii="Arial" w:hAnsi="Arial"/>
          <w:sz w:val="24"/>
        </w:rPr>
        <w:t>durante el ejercicio fiscal 2020 sólo surtirán sus efectos para ese año. Las dependencias y entidades que cobren productos durante el ejercicio fiscal 2020 deberán informarlo a la Secretaría de Administración y Finanzas.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tanto no sean autorizados los productos a que se refiere este artículo para el ejercicio fiscal de 2020, se aplicarán los vigentes al 31 de diciembre de 2019.</w:t>
      </w:r>
    </w:p>
    <w:p w:rsidR="00282B00" w:rsidRPr="004B3AC1" w:rsidRDefault="005937BE"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Con</w:t>
      </w:r>
      <w:r w:rsidR="00282B00" w:rsidRPr="004B3AC1">
        <w:rPr>
          <w:rFonts w:ascii="Arial" w:hAnsi="Arial" w:cs="Arial"/>
          <w:sz w:val="24"/>
          <w:szCs w:val="24"/>
        </w:rPr>
        <w:t xml:space="preserve"> relación a los productos que, en el ejercicio inmediato anterior, se hayan fijado en porcentajes, se continuarán aplicando durante el ejercicio fiscal 2020 los porcentajes autorizados que se encuentren vigentes al 31 de diciembre de 201</w:t>
      </w:r>
      <w:r w:rsidRPr="004B3AC1">
        <w:rPr>
          <w:rFonts w:ascii="Arial" w:hAnsi="Arial" w:cs="Arial"/>
          <w:sz w:val="24"/>
          <w:szCs w:val="24"/>
        </w:rPr>
        <w:t>9</w:t>
      </w:r>
      <w:r w:rsidR="00282B00" w:rsidRPr="004B3AC1">
        <w:rPr>
          <w:rFonts w:ascii="Arial" w:hAnsi="Arial" w:cs="Arial"/>
          <w:sz w:val="24"/>
          <w:szCs w:val="24"/>
        </w:rPr>
        <w:t xml:space="preserve">, hasta en tanto, no </w:t>
      </w:r>
      <w:r w:rsidR="00F3150D" w:rsidRPr="004B3AC1">
        <w:rPr>
          <w:rFonts w:ascii="Arial" w:hAnsi="Arial"/>
          <w:sz w:val="24"/>
        </w:rPr>
        <w:t>se</w:t>
      </w:r>
      <w:r w:rsidR="009215B7" w:rsidRPr="004B3AC1">
        <w:rPr>
          <w:rFonts w:ascii="Arial" w:hAnsi="Arial"/>
          <w:sz w:val="24"/>
        </w:rPr>
        <w:t xml:space="preserve"> </w:t>
      </w:r>
      <w:r w:rsidR="00282B00" w:rsidRPr="004B3AC1">
        <w:rPr>
          <w:rFonts w:ascii="Arial" w:hAnsi="Arial" w:cs="Arial"/>
          <w:sz w:val="24"/>
          <w:szCs w:val="24"/>
        </w:rPr>
        <w:t>emita autorización para el 2020.</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En cuanto a los productos que no hayan sido cobrados en el ejercicio inmediato anterior o que no se cobren de m</w:t>
      </w:r>
      <w:r w:rsidR="000D38CE" w:rsidRPr="004B3AC1">
        <w:rPr>
          <w:rFonts w:ascii="Arial" w:hAnsi="Arial" w:cs="Arial"/>
          <w:sz w:val="24"/>
          <w:szCs w:val="24"/>
        </w:rPr>
        <w:t xml:space="preserve">anera regular, las dependencias </w:t>
      </w:r>
      <w:r w:rsidRPr="004B3AC1">
        <w:rPr>
          <w:rFonts w:ascii="Arial" w:hAnsi="Arial" w:cs="Arial"/>
          <w:sz w:val="24"/>
          <w:szCs w:val="24"/>
        </w:rPr>
        <w:t xml:space="preserve">interesadas deberán someter para su aprobación a la Secretaría de Administración y Finanzas el monto de los productos que pretendan cobrar, en un plazo no menor a diez días hábiles anteriores a la fecha de su entrada en vigor. </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Artículo 12. Ingresos obtenidos de multas por infracciones fiscales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Para efectos de lo establecido por el artículo 20, fracción III, de la Ley de la Agencia de Administración Fiscal de Yucatán, los ingresos que el estado obtenga efectivamente de multas por infracción a las disposiciones fiscales, se destinarán a la formación de fondos para el otorgamiento de estímulos por productividad y cumplimiento del personal de dicho órgano fiscal.</w:t>
      </w:r>
    </w:p>
    <w:p w:rsidR="00282B00" w:rsidRPr="004B3AC1" w:rsidRDefault="00282B00" w:rsidP="00EF3102">
      <w:pPr>
        <w:spacing w:before="100" w:beforeAutospacing="1" w:after="100" w:afterAutospacing="1" w:line="240" w:lineRule="auto"/>
        <w:jc w:val="center"/>
        <w:rPr>
          <w:rFonts w:ascii="Arial" w:hAnsi="Arial" w:cs="Arial"/>
          <w:sz w:val="24"/>
          <w:szCs w:val="24"/>
        </w:rPr>
      </w:pPr>
      <w:r w:rsidRPr="004B3AC1">
        <w:rPr>
          <w:rFonts w:ascii="Arial" w:hAnsi="Arial" w:cs="Arial"/>
          <w:b/>
          <w:sz w:val="24"/>
          <w:szCs w:val="24"/>
        </w:rPr>
        <w:t>Capítulo II</w:t>
      </w:r>
      <w:r w:rsidRPr="004B3AC1">
        <w:rPr>
          <w:rFonts w:ascii="Arial" w:hAnsi="Arial" w:cs="Arial"/>
          <w:b/>
          <w:sz w:val="24"/>
          <w:szCs w:val="24"/>
        </w:rPr>
        <w:br/>
      </w:r>
      <w:r w:rsidR="00615CCF" w:rsidRPr="004B3AC1">
        <w:rPr>
          <w:rFonts w:ascii="Arial" w:hAnsi="Arial" w:cs="Arial"/>
          <w:b/>
          <w:sz w:val="24"/>
          <w:szCs w:val="24"/>
        </w:rPr>
        <w:t>R</w:t>
      </w:r>
      <w:r w:rsidRPr="004B3AC1">
        <w:rPr>
          <w:rFonts w:ascii="Arial" w:hAnsi="Arial" w:cs="Arial"/>
          <w:b/>
          <w:sz w:val="24"/>
          <w:szCs w:val="24"/>
        </w:rPr>
        <w:t>ecaudación y concentración de ingresos</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Artículo 13</w:t>
      </w:r>
      <w:r w:rsidR="00244C81" w:rsidRPr="004B3AC1">
        <w:rPr>
          <w:rFonts w:ascii="Arial" w:hAnsi="Arial" w:cs="Arial"/>
          <w:b/>
          <w:sz w:val="24"/>
          <w:szCs w:val="24"/>
        </w:rPr>
        <w:t>.</w:t>
      </w:r>
      <w:r w:rsidRPr="004B3AC1">
        <w:rPr>
          <w:rFonts w:ascii="Arial" w:hAnsi="Arial" w:cs="Arial"/>
          <w:b/>
          <w:sz w:val="24"/>
          <w:szCs w:val="24"/>
        </w:rPr>
        <w:t xml:space="preserve"> Disposiciones en materia de recaudación</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La recaudación de los ingresos a que se refiere esta ley se acreditará mediante comprobante de pago </w:t>
      </w:r>
      <w:r w:rsidR="00E759B0" w:rsidRPr="004B3AC1">
        <w:rPr>
          <w:rFonts w:ascii="Arial" w:hAnsi="Arial" w:cs="Arial"/>
          <w:sz w:val="24"/>
          <w:szCs w:val="24"/>
        </w:rPr>
        <w:t>o acuse de pago</w:t>
      </w:r>
      <w:r w:rsidR="009215B7" w:rsidRPr="004B3AC1">
        <w:rPr>
          <w:rFonts w:ascii="Arial" w:hAnsi="Arial" w:cs="Arial"/>
          <w:sz w:val="24"/>
          <w:szCs w:val="24"/>
        </w:rPr>
        <w:t xml:space="preserve"> </w:t>
      </w:r>
      <w:r w:rsidRPr="004B3AC1">
        <w:rPr>
          <w:rFonts w:ascii="Arial" w:hAnsi="Arial" w:cs="Arial"/>
          <w:sz w:val="24"/>
          <w:szCs w:val="24"/>
        </w:rPr>
        <w:t>impreso o digital que para tal efecto emita la Secretaría de Administración y Finanzas, la Agencia de Administración Fiscal de Yucatán, o las instituciones, entidades y establecimientos autorizados para tal efecto.</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Para que tenga validez el comprobante de pago</w:t>
      </w:r>
      <w:r w:rsidR="001A322F" w:rsidRPr="004B3AC1">
        <w:rPr>
          <w:rFonts w:ascii="Arial" w:hAnsi="Arial" w:cs="Arial"/>
          <w:sz w:val="24"/>
          <w:szCs w:val="24"/>
        </w:rPr>
        <w:t xml:space="preserve"> o acuse de pago</w:t>
      </w:r>
      <w:r w:rsidRPr="004B3AC1">
        <w:rPr>
          <w:rFonts w:ascii="Arial" w:hAnsi="Arial" w:cs="Arial"/>
          <w:sz w:val="24"/>
          <w:szCs w:val="24"/>
        </w:rPr>
        <w:t xml:space="preserve"> señalado en el párrafo anterior, deberá contener sello y firma del cajero otorgados por alguna oficina recaudadora autorizada.</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Cuando el contribuyente realice el pago o entero de las contribuciones u otros ingresos a que se refiere esta ley, mediante línea de referencia, en las oficinas recaudadoras de la Agencia de Administración Fiscal de Yucatán, </w:t>
      </w:r>
      <w:r w:rsidR="001A322F" w:rsidRPr="004B3AC1">
        <w:rPr>
          <w:rFonts w:ascii="Arial" w:hAnsi="Arial" w:cs="Arial"/>
          <w:sz w:val="24"/>
          <w:szCs w:val="24"/>
        </w:rPr>
        <w:t>o las instituciones, entidades y establecimientos autorizados para tal efecto, recibirá comprobante de pago con sello digital</w:t>
      </w:r>
      <w:r w:rsidRPr="004B3AC1">
        <w:rPr>
          <w:rFonts w:ascii="Arial" w:hAnsi="Arial" w:cs="Arial"/>
          <w:sz w:val="24"/>
          <w:szCs w:val="24"/>
        </w:rPr>
        <w:t>.</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Para los efectos de este artículo, se entenderá por línea de referencia, el conjunto de caracteres que permiten identificar de manera única una transacción y validar la información presentada en las instituciones de crédito, entidades, establecimientos y oficinas recaudadoras de la Agencia de Administración Fiscal de Yucatán, obteniendo como resultado un código con dígitos verificadores.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Agencia de Administración Fiscal de Yucatán podrá expedir las disposiciones que sean necesarias para la correcta y debida aplicación de este artículo.</w:t>
      </w:r>
    </w:p>
    <w:p w:rsidR="00282B00" w:rsidRPr="004B3AC1" w:rsidRDefault="00282B00" w:rsidP="00EF3102">
      <w:pPr>
        <w:spacing w:before="100" w:beforeAutospacing="1" w:after="100" w:afterAutospacing="1" w:line="240" w:lineRule="auto"/>
        <w:jc w:val="both"/>
        <w:rPr>
          <w:rFonts w:ascii="Arial" w:hAnsi="Arial" w:cs="Arial"/>
          <w:b/>
          <w:sz w:val="24"/>
          <w:szCs w:val="24"/>
        </w:rPr>
      </w:pPr>
      <w:r w:rsidRPr="004B3AC1">
        <w:rPr>
          <w:rFonts w:ascii="Arial" w:hAnsi="Arial" w:cs="Arial"/>
          <w:b/>
          <w:sz w:val="24"/>
          <w:szCs w:val="24"/>
        </w:rPr>
        <w:t>Artículo 14. Recaudación de los ingresos</w:t>
      </w:r>
    </w:p>
    <w:p w:rsidR="00282B00" w:rsidRPr="004B3AC1" w:rsidRDefault="00282B00"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Los ingresos autorizados por esta ley se percibirán, causarán, liquidarán y recaudarán de acuerdo con la Ley General de Hacienda del Estado de Yucatán, el Código Fiscal del Estado de Yucatán y demás disposiciones fiscales estatales o federales aplicables.</w:t>
      </w:r>
    </w:p>
    <w:p w:rsidR="00282B00" w:rsidRPr="004B3AC1" w:rsidRDefault="00282B00" w:rsidP="007E0DA3">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La Secretaría de Administración y Finanzas y la Agencia de Administración Fiscal de Yucatán son los entes competentes para recaudar los ingresos que corresponden al </w:t>
      </w:r>
      <w:r w:rsidR="0011146E" w:rsidRPr="004B3AC1">
        <w:rPr>
          <w:rFonts w:ascii="Arial" w:hAnsi="Arial" w:cs="Arial"/>
          <w:sz w:val="24"/>
          <w:szCs w:val="24"/>
        </w:rPr>
        <w:t>e</w:t>
      </w:r>
      <w:r w:rsidRPr="004B3AC1">
        <w:rPr>
          <w:rFonts w:ascii="Arial" w:hAnsi="Arial" w:cs="Arial"/>
          <w:sz w:val="24"/>
          <w:szCs w:val="24"/>
        </w:rPr>
        <w:t>stado.</w:t>
      </w:r>
    </w:p>
    <w:p w:rsidR="00F3150D" w:rsidRPr="004B3AC1" w:rsidRDefault="00F3150D" w:rsidP="007E0DA3">
      <w:pPr>
        <w:pStyle w:val="Prrafodelista"/>
        <w:spacing w:before="100" w:beforeAutospacing="1" w:after="100" w:afterAutospacing="1" w:line="240" w:lineRule="auto"/>
        <w:ind w:left="0"/>
        <w:contextualSpacing w:val="0"/>
        <w:jc w:val="both"/>
        <w:rPr>
          <w:rFonts w:ascii="Arial" w:hAnsi="Arial"/>
          <w:b/>
          <w:sz w:val="24"/>
        </w:rPr>
      </w:pPr>
      <w:r w:rsidRPr="004B3AC1">
        <w:rPr>
          <w:rFonts w:ascii="Arial" w:hAnsi="Arial"/>
          <w:b/>
          <w:sz w:val="24"/>
        </w:rPr>
        <w:t>Artículo 15. Registro de ingresos</w:t>
      </w:r>
    </w:p>
    <w:p w:rsidR="00F3150D" w:rsidRPr="004B3AC1" w:rsidRDefault="00F3150D" w:rsidP="007E0DA3">
      <w:pPr>
        <w:spacing w:before="100" w:beforeAutospacing="1" w:after="100" w:afterAutospacing="1" w:line="240" w:lineRule="auto"/>
        <w:jc w:val="both"/>
        <w:rPr>
          <w:rFonts w:ascii="Arial" w:hAnsi="Arial" w:cs="Arial"/>
          <w:sz w:val="24"/>
          <w:szCs w:val="24"/>
        </w:rPr>
      </w:pPr>
      <w:r w:rsidRPr="004B3AC1">
        <w:rPr>
          <w:rFonts w:ascii="Arial" w:hAnsi="Arial"/>
          <w:sz w:val="24"/>
        </w:rPr>
        <w:t>Las entidades que reciban ingresos por el pago de contraprestaciones de cualquier tipo, derechos y servicios, así como donativos en dinero, deberán timbrar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rsidR="00EF3102" w:rsidRPr="004B3AC1" w:rsidRDefault="00EF3102" w:rsidP="007E0DA3">
      <w:pPr>
        <w:tabs>
          <w:tab w:val="right" w:pos="8498"/>
        </w:tabs>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Artículo 1</w:t>
      </w:r>
      <w:r w:rsidR="007E0DA3" w:rsidRPr="004B3AC1">
        <w:rPr>
          <w:rFonts w:ascii="Arial" w:hAnsi="Arial"/>
          <w:b/>
          <w:sz w:val="24"/>
        </w:rPr>
        <w:t>6</w:t>
      </w:r>
      <w:r w:rsidRPr="004B3AC1">
        <w:rPr>
          <w:rFonts w:ascii="Arial" w:hAnsi="Arial" w:cs="Arial"/>
          <w:b/>
          <w:sz w:val="24"/>
          <w:szCs w:val="24"/>
        </w:rPr>
        <w:t>. Convenios de colaboración administrativa</w:t>
      </w:r>
    </w:p>
    <w:p w:rsidR="00EF3102" w:rsidRPr="004B3AC1" w:rsidRDefault="00EF3102" w:rsidP="007E0DA3">
      <w:pPr>
        <w:tabs>
          <w:tab w:val="right" w:pos="8498"/>
        </w:tabs>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La Secretaría de Administración y Finanzas estará facultada para que por conducto de la Agencia de Administración Fiscal de Yucatán celebre convenios de colaboración administrativa con entidades de la Administración Pública paraestatal, respecto a la recaudación de sus ingresos.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 xml:space="preserve">Artículo </w:t>
      </w:r>
      <w:r w:rsidRPr="004B3AC1">
        <w:rPr>
          <w:rFonts w:ascii="Arial" w:hAnsi="Arial"/>
          <w:b/>
          <w:sz w:val="24"/>
        </w:rPr>
        <w:t>1</w:t>
      </w:r>
      <w:r w:rsidR="007E0DA3" w:rsidRPr="004B3AC1">
        <w:rPr>
          <w:rFonts w:ascii="Arial" w:hAnsi="Arial"/>
          <w:b/>
          <w:sz w:val="24"/>
        </w:rPr>
        <w:t>7</w:t>
      </w:r>
      <w:r w:rsidRPr="004B3AC1">
        <w:rPr>
          <w:rFonts w:ascii="Arial" w:hAnsi="Arial" w:cs="Arial"/>
          <w:b/>
          <w:sz w:val="24"/>
          <w:szCs w:val="24"/>
        </w:rPr>
        <w:t>. Contribuciones no determinadas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No podrá cobrarse ninguna contribución que no esté determinada expresamente en las disposiciones legales aplicables.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 xml:space="preserve">Artículo </w:t>
      </w:r>
      <w:r w:rsidRPr="004B3AC1">
        <w:rPr>
          <w:rFonts w:ascii="Arial" w:hAnsi="Arial"/>
          <w:b/>
          <w:sz w:val="24"/>
        </w:rPr>
        <w:t>1</w:t>
      </w:r>
      <w:r w:rsidR="007E0DA3" w:rsidRPr="004B3AC1">
        <w:rPr>
          <w:rFonts w:ascii="Arial" w:hAnsi="Arial"/>
          <w:b/>
          <w:sz w:val="24"/>
        </w:rPr>
        <w:t>8</w:t>
      </w:r>
      <w:r w:rsidRPr="004B3AC1">
        <w:rPr>
          <w:rFonts w:ascii="Arial" w:hAnsi="Arial" w:cs="Arial"/>
          <w:b/>
          <w:sz w:val="24"/>
          <w:szCs w:val="24"/>
        </w:rPr>
        <w:t>. Concentración de ingresos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Los ingresos de las dependencias de la Administración Pública estatal o sus órganos administrativos desconcentrados por los diversos conceptos que establece esta ley, deben concentrarse en la Tesorería General del Estado a más tardar el tercer día hábil siguiente al de su recepción y deberán reflejarse, cualquiera que sea su naturaleza, tanto en los registros de la propia Tesorería General del Estado como en la cuenta pública. </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Los ingresos de las entidades de la Administración Pública paraestatal, con excepción de las contribuciones, no se concentrarán en la Tesorería General del Estado.</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Las entidades paraestatales informarán dentro de los primeros cinco días hábiles de cada mes a la Secretaría de Administración y Finanzas, sobre los ingresos que obtengan por cualquier concepto de acuerdo al rubro, tipo o clase correspondiente previsto en este ordenamiento, a efecto de que se puedan elaborar los informes trimestrales que establece la Ley de Presupuesto y Contabilidad Gubernamental del Estado de Yucatán y su reglamento y se reflejen dentro de la cuenta pública.</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Las entidades paraestatales deberán conservar la documentación comprobatoria de dichos ingresos y ponerla a disposición de los órganos revisores de la cuenta pública. </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Las contribuciones, productos o aprovechamientos a los que las leyes de carácter no fiscal otorguen una naturaleza distinta a la establecida en las leyes fiscales, tendrán la naturaleza establecida en las leyes fiscales.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 señalado en los párrafos anteriores se establece sin perjuicio de la obligación de concentrar los recursos públicos al final del ejercicio en la Tesorería General del Estado, en los términos del artículo 92, párrafo séptimo, de la Ley de Presupuesto y Contabilidad Gubernamental del Estado de Yucatán.</w:t>
      </w:r>
    </w:p>
    <w:p w:rsidR="00EF3102" w:rsidRPr="004B3AC1" w:rsidRDefault="00EF3102" w:rsidP="00EF3102">
      <w:pPr>
        <w:spacing w:before="100" w:beforeAutospacing="1" w:after="100" w:afterAutospacing="1" w:line="240" w:lineRule="auto"/>
        <w:jc w:val="both"/>
        <w:rPr>
          <w:rFonts w:ascii="Arial" w:eastAsia="Times New Roman" w:hAnsi="Arial" w:cs="Arial"/>
          <w:b/>
          <w:bCs/>
          <w:sz w:val="24"/>
          <w:szCs w:val="24"/>
          <w:lang w:eastAsia="es-MX"/>
        </w:rPr>
      </w:pPr>
      <w:r w:rsidRPr="004B3AC1">
        <w:rPr>
          <w:rFonts w:ascii="Arial" w:eastAsia="Times New Roman" w:hAnsi="Arial" w:cs="Arial"/>
          <w:b/>
          <w:bCs/>
          <w:sz w:val="24"/>
          <w:szCs w:val="24"/>
          <w:lang w:eastAsia="es-MX"/>
        </w:rPr>
        <w:t xml:space="preserve">Artículo </w:t>
      </w:r>
      <w:r w:rsidRPr="004B3AC1">
        <w:rPr>
          <w:rFonts w:ascii="Arial" w:hAnsi="Arial"/>
          <w:b/>
          <w:sz w:val="24"/>
        </w:rPr>
        <w:t>1</w:t>
      </w:r>
      <w:r w:rsidR="007E0DA3" w:rsidRPr="004B3AC1">
        <w:rPr>
          <w:rFonts w:ascii="Arial" w:hAnsi="Arial"/>
          <w:b/>
          <w:sz w:val="24"/>
        </w:rPr>
        <w:t>9</w:t>
      </w:r>
      <w:r w:rsidRPr="004B3AC1">
        <w:rPr>
          <w:rFonts w:ascii="Arial" w:eastAsia="Times New Roman" w:hAnsi="Arial" w:cs="Arial"/>
          <w:b/>
          <w:bCs/>
          <w:sz w:val="24"/>
          <w:szCs w:val="24"/>
          <w:lang w:eastAsia="es-MX"/>
        </w:rPr>
        <w:t>. Concentración de ingresos por desincorporación de entidades paraestatales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Los ingresos netos que se obtengan por la desincorporación de entidades paraestatales son los recursos remanentes que queden, una vez descontadas las erogaciones realizadas, tales como comisiones que se paguen a agentes financieros, contribuciones, gastos de administración, de mantenimiento y venta, honorarios de comisionados especiales que no sean servidores públicos encargados de dichos procesos, así como pagos de las reclamaciones procedentes que presenten los adquirentes o terceros, por pasivos ocultos, fiscales o de otra índole, activos inexistentes y asuntos en litigio y demás erogaciones análogas a todas las mencionadas.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Los ingresos netos se enterarán o concentrarán, según corresponda en la Tesorería General del Estado y deberán manifestarse tanto en los registros de la propia tesorería como en la cuenta pública del estado.</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Los pasivos a cargo de organismos públicos descentralizados en proceso de extinción y liquidación que tengan como acreedor al gobierno estatal, con excepción de aquellos que tengan el carácter de crédito fiscal, podrán determinarse por extintos por la Secretaría de Administración y Finanzas de pleno derecho sin necesidad de autorización alguna, y los créditos quedarán cancelados de las cuentas públicas.</w:t>
      </w:r>
    </w:p>
    <w:p w:rsidR="00EF3102" w:rsidRPr="004B3AC1" w:rsidRDefault="00EF3102" w:rsidP="00EF3102">
      <w:pPr>
        <w:spacing w:before="100" w:beforeAutospacing="1" w:after="100" w:afterAutospacing="1" w:line="240" w:lineRule="auto"/>
        <w:jc w:val="both"/>
        <w:rPr>
          <w:rFonts w:ascii="Arial" w:eastAsia="Times New Roman" w:hAnsi="Arial" w:cs="Arial"/>
          <w:b/>
          <w:bCs/>
          <w:sz w:val="24"/>
          <w:szCs w:val="24"/>
          <w:lang w:eastAsia="es-MX"/>
        </w:rPr>
      </w:pPr>
      <w:r w:rsidRPr="004B3AC1">
        <w:rPr>
          <w:rFonts w:ascii="Arial" w:eastAsia="Times New Roman" w:hAnsi="Arial" w:cs="Arial"/>
          <w:b/>
          <w:bCs/>
          <w:sz w:val="24"/>
          <w:szCs w:val="24"/>
          <w:lang w:eastAsia="es-MX"/>
        </w:rPr>
        <w:t xml:space="preserve">Artículo </w:t>
      </w:r>
      <w:r w:rsidR="007E0DA3" w:rsidRPr="004B3AC1">
        <w:rPr>
          <w:rFonts w:ascii="Arial" w:hAnsi="Arial"/>
          <w:b/>
          <w:sz w:val="24"/>
        </w:rPr>
        <w:t>20</w:t>
      </w:r>
      <w:r w:rsidRPr="004B3AC1">
        <w:rPr>
          <w:rFonts w:ascii="Arial" w:eastAsia="Times New Roman" w:hAnsi="Arial" w:cs="Arial"/>
          <w:b/>
          <w:bCs/>
          <w:sz w:val="24"/>
          <w:szCs w:val="24"/>
          <w:lang w:eastAsia="es-MX"/>
        </w:rPr>
        <w:t>. Concentración de ingresos por venta de bienes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Los ingresos que se recauden por concepto de bienes que pasen a ser propiedad del Fisco Estatal se enterarán a la Tesorería del Estado hasta el momento en que se cobre la contraprestación pactada por la enajenación de dichos bienes. </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Tratándose de los gastos de ejecución que reciba el Fisco Estatal, éstos se enterarán a la Tesorería del Estado hasta el momento en el que efectivamente se cobren, sin clasificarlos en el concepto de la contribución o aprovechamiento del cual son accesorios.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sz w:val="24"/>
          <w:szCs w:val="24"/>
        </w:rPr>
        <w:t>Los ingresos que se enteren a la Tesorería del Estado por concepto de bienes que pasen a ser propiedad del Fisco del Estado o gastos de ejecución, serán los netos que resulten de restar al ingreso percibido, las erogaciones efectuadas para realizar la enajenación de los bienes o para llevar a cabo el procedimiento administrativo de ejecución que dio lugar al cobro de los gastos de ejecución. Así como las erogaciones a que se refiere el primer párrafo del artículo 18.</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Artículo 2</w:t>
      </w:r>
      <w:r w:rsidR="007E0DA3" w:rsidRPr="004B3AC1">
        <w:rPr>
          <w:rFonts w:ascii="Arial" w:hAnsi="Arial"/>
          <w:b/>
          <w:sz w:val="24"/>
        </w:rPr>
        <w:t>1</w:t>
      </w:r>
      <w:r w:rsidRPr="004B3AC1">
        <w:rPr>
          <w:rFonts w:ascii="Arial" w:hAnsi="Arial" w:cs="Arial"/>
          <w:b/>
          <w:sz w:val="24"/>
          <w:szCs w:val="24"/>
        </w:rPr>
        <w:t>. Excepción de concentración de ingresos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Los ingresos provenientes de las aportaciones de seguridad social destinados al Instituto de Seguridad y Servicios Sociales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Los ingresos que el Estado obtenga en términos del artículo 71 de la Ley General de Víctimas serán integrados al patrimonio del Fondo Estatal de Ayuda, Asistencia y Reparación Integral.</w:t>
      </w:r>
    </w:p>
    <w:p w:rsidR="00EF3102" w:rsidRPr="004B3AC1" w:rsidRDefault="00EF3102" w:rsidP="00EF3102">
      <w:pPr>
        <w:spacing w:before="100" w:beforeAutospacing="1" w:after="100" w:afterAutospacing="1" w:line="240" w:lineRule="auto"/>
        <w:jc w:val="both"/>
        <w:rPr>
          <w:rFonts w:ascii="Arial" w:eastAsia="Times New Roman" w:hAnsi="Arial" w:cs="Arial"/>
          <w:b/>
          <w:bCs/>
          <w:sz w:val="24"/>
          <w:szCs w:val="24"/>
          <w:lang w:eastAsia="es-MX"/>
        </w:rPr>
      </w:pPr>
      <w:r w:rsidRPr="004B3AC1">
        <w:rPr>
          <w:rFonts w:ascii="Arial" w:eastAsia="Times New Roman" w:hAnsi="Arial" w:cs="Arial"/>
          <w:b/>
          <w:bCs/>
          <w:sz w:val="24"/>
          <w:szCs w:val="24"/>
          <w:lang w:eastAsia="es-MX"/>
        </w:rPr>
        <w:t>Artículo 2</w:t>
      </w:r>
      <w:r w:rsidR="007E0DA3" w:rsidRPr="004B3AC1">
        <w:rPr>
          <w:rFonts w:ascii="Arial" w:hAnsi="Arial"/>
          <w:b/>
          <w:sz w:val="24"/>
        </w:rPr>
        <w:t>2</w:t>
      </w:r>
      <w:r w:rsidRPr="004B3AC1">
        <w:rPr>
          <w:rFonts w:ascii="Arial" w:eastAsia="Times New Roman" w:hAnsi="Arial" w:cs="Arial"/>
          <w:b/>
          <w:bCs/>
          <w:sz w:val="24"/>
          <w:szCs w:val="24"/>
          <w:lang w:eastAsia="es-MX"/>
        </w:rPr>
        <w:t>. Remanentes de Fideicomisos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Los recursos públicos remanentes a la rescisión o terminación de un fideicomiso, mandato o contrato análogo, deberán ser concentrados en la Tesorería General del Estado bajo la naturaleza de productos o aprovechamientos, según sea su origen, y en su caso, la Secretaría determinará el destino de los recursos, considerando la conveniencia de aplicarlos a la dependencia que aportó los recursos o a la dependencia o entidad que concuerde con los fines u objeto para los cuales se creó el fideicomiso, mandato o contrato análogo, salvo aquellos para los que esté previsto un destino distinto en el instrumento correspondiente. </w:t>
      </w:r>
    </w:p>
    <w:p w:rsidR="00EF3102" w:rsidRPr="004B3AC1" w:rsidRDefault="00EF3102" w:rsidP="00EF3102">
      <w:pPr>
        <w:spacing w:before="100" w:beforeAutospacing="1" w:after="100" w:afterAutospacing="1" w:line="240" w:lineRule="auto"/>
        <w:jc w:val="center"/>
        <w:rPr>
          <w:rFonts w:ascii="Arial" w:eastAsia="Times New Roman" w:hAnsi="Arial" w:cs="Arial"/>
          <w:b/>
          <w:bCs/>
          <w:sz w:val="24"/>
          <w:szCs w:val="24"/>
          <w:lang w:eastAsia="es-MX"/>
        </w:rPr>
      </w:pPr>
      <w:r w:rsidRPr="004B3AC1">
        <w:rPr>
          <w:rFonts w:ascii="Arial" w:eastAsia="Times New Roman" w:hAnsi="Arial" w:cs="Arial"/>
          <w:b/>
          <w:bCs/>
          <w:sz w:val="24"/>
          <w:szCs w:val="24"/>
          <w:lang w:eastAsia="es-MX"/>
        </w:rPr>
        <w:t>Capítulo III</w:t>
      </w:r>
      <w:r w:rsidRPr="004B3AC1">
        <w:rPr>
          <w:rFonts w:ascii="Arial" w:eastAsia="Times New Roman" w:hAnsi="Arial" w:cs="Arial"/>
          <w:b/>
          <w:bCs/>
          <w:sz w:val="24"/>
          <w:szCs w:val="24"/>
          <w:lang w:eastAsia="es-MX"/>
        </w:rPr>
        <w:br/>
      </w:r>
      <w:r w:rsidRPr="004B3AC1">
        <w:rPr>
          <w:rFonts w:ascii="Arial" w:hAnsi="Arial" w:cs="Arial"/>
          <w:b/>
          <w:sz w:val="24"/>
          <w:szCs w:val="24"/>
        </w:rPr>
        <w:t>Sujetos públicos obligados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Artículo 2</w:t>
      </w:r>
      <w:r w:rsidR="007E0DA3" w:rsidRPr="004B3AC1">
        <w:rPr>
          <w:rFonts w:ascii="Arial" w:hAnsi="Arial"/>
          <w:b/>
          <w:sz w:val="24"/>
        </w:rPr>
        <w:t>3</w:t>
      </w:r>
      <w:r w:rsidRPr="004B3AC1">
        <w:rPr>
          <w:rFonts w:ascii="Arial" w:hAnsi="Arial" w:cs="Arial"/>
          <w:b/>
          <w:sz w:val="24"/>
          <w:szCs w:val="24"/>
        </w:rPr>
        <w:t>. Sujetos obligados a pagar contribuciones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La federación, el estado y los municipios, los organismos descentralizados federales, estatales y municipales, las empresas de participación estatal mayoritaria de carácter federal y estatal, las empresas de participación municipal mayoritaria, los fideicomisos constituidos por dependencias y entidades de la Administración Pública federal, por el estado y por los municipios, así como las personas de derecho público con autonomía derivada de su norma de creación, de la Constitución Política de los Estados Unidos Mexicanos o de la Constitución Política del Estado de Yucatán, quedan obligados a pagar contribuciones, salvo que las leyes fiscales estatales los eximan expresamente.</w:t>
      </w:r>
    </w:p>
    <w:p w:rsidR="00EF3102" w:rsidRPr="004B3AC1" w:rsidRDefault="00EF3102" w:rsidP="00EF3102">
      <w:pPr>
        <w:spacing w:before="100" w:beforeAutospacing="1" w:after="100" w:afterAutospacing="1" w:line="240" w:lineRule="auto"/>
        <w:jc w:val="center"/>
        <w:rPr>
          <w:rFonts w:ascii="Arial" w:eastAsia="Times New Roman" w:hAnsi="Arial" w:cs="Arial"/>
          <w:b/>
          <w:sz w:val="24"/>
          <w:szCs w:val="24"/>
          <w:lang w:eastAsia="es-MX"/>
        </w:rPr>
      </w:pPr>
      <w:r w:rsidRPr="004B3AC1">
        <w:rPr>
          <w:rFonts w:ascii="Arial" w:eastAsia="Times New Roman" w:hAnsi="Arial" w:cs="Arial"/>
          <w:b/>
          <w:sz w:val="24"/>
          <w:szCs w:val="24"/>
          <w:lang w:eastAsia="es-MX"/>
        </w:rPr>
        <w:t>Capítulo IV</w:t>
      </w:r>
      <w:r w:rsidRPr="004B3AC1">
        <w:rPr>
          <w:rFonts w:ascii="Arial" w:eastAsia="Times New Roman" w:hAnsi="Arial" w:cs="Arial"/>
          <w:b/>
          <w:sz w:val="24"/>
          <w:szCs w:val="24"/>
          <w:lang w:eastAsia="es-MX"/>
        </w:rPr>
        <w:br/>
        <w:t>Facilidades a los contribuyentes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Artículo 2</w:t>
      </w:r>
      <w:r w:rsidR="007E0DA3" w:rsidRPr="004B3AC1">
        <w:rPr>
          <w:rFonts w:ascii="Arial" w:hAnsi="Arial"/>
          <w:b/>
          <w:sz w:val="24"/>
        </w:rPr>
        <w:t>4</w:t>
      </w:r>
      <w:r w:rsidRPr="004B3AC1">
        <w:rPr>
          <w:rFonts w:ascii="Arial" w:hAnsi="Arial" w:cs="Arial"/>
          <w:b/>
          <w:sz w:val="24"/>
          <w:szCs w:val="24"/>
        </w:rPr>
        <w:t>. Inscripción al Registro Federal de Contribuyentes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Artículo 2</w:t>
      </w:r>
      <w:r w:rsidR="007E0DA3" w:rsidRPr="004B3AC1">
        <w:rPr>
          <w:rFonts w:ascii="Arial" w:hAnsi="Arial"/>
          <w:b/>
          <w:sz w:val="24"/>
        </w:rPr>
        <w:t>5</w:t>
      </w:r>
      <w:r w:rsidRPr="004B3AC1">
        <w:rPr>
          <w:rFonts w:ascii="Arial" w:hAnsi="Arial" w:cs="Arial"/>
          <w:b/>
          <w:sz w:val="24"/>
          <w:szCs w:val="24"/>
        </w:rPr>
        <w:t>. Medios de pago</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Artículo 2</w:t>
      </w:r>
      <w:r w:rsidR="007E0DA3" w:rsidRPr="004B3AC1">
        <w:rPr>
          <w:rFonts w:ascii="Arial" w:hAnsi="Arial"/>
          <w:b/>
          <w:sz w:val="24"/>
        </w:rPr>
        <w:t>6</w:t>
      </w:r>
      <w:r w:rsidRPr="004B3AC1">
        <w:rPr>
          <w:rFonts w:ascii="Arial" w:hAnsi="Arial" w:cs="Arial"/>
          <w:b/>
          <w:sz w:val="24"/>
          <w:szCs w:val="24"/>
        </w:rPr>
        <w:t>. Tasa de recargos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Artículo 2</w:t>
      </w:r>
      <w:r w:rsidR="007E0DA3" w:rsidRPr="004B3AC1">
        <w:rPr>
          <w:rFonts w:ascii="Arial" w:hAnsi="Arial"/>
          <w:b/>
          <w:sz w:val="24"/>
        </w:rPr>
        <w:t>7</w:t>
      </w:r>
      <w:r w:rsidRPr="004B3AC1">
        <w:rPr>
          <w:rFonts w:ascii="Arial" w:hAnsi="Arial" w:cs="Arial"/>
          <w:b/>
          <w:sz w:val="24"/>
          <w:szCs w:val="24"/>
        </w:rPr>
        <w:t>. Recargos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En los casos de prórroga para el pago de créditos fiscales se causarán recargos:</w:t>
      </w:r>
    </w:p>
    <w:p w:rsidR="00EF3102" w:rsidRPr="004B3AC1" w:rsidRDefault="00EF3102" w:rsidP="00EF3102">
      <w:pPr>
        <w:spacing w:before="100" w:beforeAutospacing="1" w:after="100" w:afterAutospacing="1" w:line="240" w:lineRule="auto"/>
        <w:ind w:firstLine="709"/>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I. Al 0.98% mensual sobre los saldos insolutos.</w:t>
      </w:r>
    </w:p>
    <w:p w:rsidR="00EF3102" w:rsidRPr="004B3AC1" w:rsidRDefault="00EF3102" w:rsidP="00EF3102">
      <w:pPr>
        <w:spacing w:before="100" w:beforeAutospacing="1" w:after="100" w:afterAutospacing="1" w:line="240" w:lineRule="auto"/>
        <w:ind w:firstLine="709"/>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II. Cuando el Código Fiscal del Estado de Yucatán permita que la tasa de recargos por prórroga incluya actualización, se aplicará sobre los saldos las siguientes tasas, durante los períodos que a continuación se señalan:</w:t>
      </w:r>
    </w:p>
    <w:p w:rsidR="00EF3102" w:rsidRPr="004B3AC1" w:rsidRDefault="00EF3102" w:rsidP="00CF5B99">
      <w:pPr>
        <w:spacing w:before="100" w:beforeAutospacing="1" w:after="100" w:afterAutospacing="1" w:line="240" w:lineRule="auto"/>
        <w:ind w:left="709" w:firstLine="709"/>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a) Tratándose de pagos a plazos en parcialidades hasta doce meses, la tasa de recargos será del 1.26% mensual.</w:t>
      </w:r>
    </w:p>
    <w:p w:rsidR="00EF3102" w:rsidRPr="004B3AC1" w:rsidRDefault="00EF3102" w:rsidP="00CF5B99">
      <w:pPr>
        <w:spacing w:before="100" w:beforeAutospacing="1" w:after="100" w:afterAutospacing="1" w:line="240" w:lineRule="auto"/>
        <w:ind w:left="709" w:firstLine="709"/>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b) Tratándose de pagos a plazos en parcialidades de más de doce meses y hasta de veinticuatro meses, la tasa de recargos será de 1.53% mensual.</w:t>
      </w:r>
    </w:p>
    <w:p w:rsidR="00EF3102" w:rsidRPr="004B3AC1" w:rsidRDefault="00EF3102" w:rsidP="00CF5B99">
      <w:pPr>
        <w:spacing w:before="100" w:beforeAutospacing="1" w:after="100" w:afterAutospacing="1" w:line="240" w:lineRule="auto"/>
        <w:ind w:left="709" w:firstLine="709"/>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c) Tratándose de pagos a plazos en parcialidades superiores a veinticuatro meses o de pagos a plazo diferido, la tasa de recargos será de 1.82% mensual.</w:t>
      </w:r>
    </w:p>
    <w:p w:rsidR="007E0DA3" w:rsidRPr="004B3AC1" w:rsidRDefault="007E0DA3" w:rsidP="007E0DA3">
      <w:pPr>
        <w:spacing w:before="100" w:beforeAutospacing="1" w:after="100" w:afterAutospacing="1" w:line="240" w:lineRule="auto"/>
        <w:jc w:val="both"/>
        <w:rPr>
          <w:rFonts w:ascii="Arial" w:hAnsi="Arial" w:cs="Arial"/>
          <w:sz w:val="24"/>
          <w:szCs w:val="24"/>
        </w:rPr>
      </w:pPr>
      <w:r w:rsidRPr="004B3AC1">
        <w:rPr>
          <w:rFonts w:ascii="Arial" w:hAnsi="Arial"/>
          <w:sz w:val="24"/>
        </w:rPr>
        <w:t>Las tasas de recargos establecidas en la fracción II de este artículo incluyen la actualización realizada conforme a lo establecido por el propio Código Fiscal del Estado de Yucatán.</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Artículo 2</w:t>
      </w:r>
      <w:r w:rsidR="007E0DA3" w:rsidRPr="004B3AC1">
        <w:rPr>
          <w:rFonts w:ascii="Arial" w:hAnsi="Arial"/>
          <w:b/>
          <w:sz w:val="24"/>
        </w:rPr>
        <w:t>8</w:t>
      </w:r>
      <w:r w:rsidRPr="004B3AC1">
        <w:rPr>
          <w:rFonts w:ascii="Arial" w:hAnsi="Arial" w:cs="Arial"/>
          <w:b/>
          <w:sz w:val="24"/>
          <w:szCs w:val="24"/>
        </w:rPr>
        <w:t>. Programas de apoyo</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El titular del Poder Ejecutivo podrá establecer programas de apoyo o incentivos, según sea el caso, a los contribuyentes o a los sujetos obligados de esta ley, los cuales deberán publicarse en el Diario Oficial del Gobierno del Estado de Yucatán. En dichos programas de apoyo o incentivos que instituya, entre otras acciones, podrá establecerse la condonación total o parcial de contribuciones y aprovechamientos, así como de sus accesorios.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Artículo 2</w:t>
      </w:r>
      <w:r w:rsidR="007E0DA3" w:rsidRPr="004B3AC1">
        <w:rPr>
          <w:rFonts w:ascii="Arial" w:hAnsi="Arial"/>
          <w:b/>
          <w:sz w:val="24"/>
        </w:rPr>
        <w:t>9</w:t>
      </w:r>
      <w:r w:rsidRPr="004B3AC1">
        <w:rPr>
          <w:rFonts w:ascii="Arial" w:hAnsi="Arial" w:cs="Arial"/>
          <w:b/>
          <w:sz w:val="24"/>
          <w:szCs w:val="24"/>
        </w:rPr>
        <w:t>. Imposibilidad práctica de cobro</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Se faculta a las autoridades fiscales para que lleven a cabo la cancelación de los créditos fiscales, cuyo cobro les corresponda efectuar, en los casos en que exista imposibilidad práctica de cobro. </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Las autoridades, previo a la cancelación de un crédito fiscal, deberán integrar un expediente que contenga los documentos y constancias que acrediten la imposibilidad práctica de cobro. Los expedientes deberán integrarse de acuerdo con los lineamientos que para tal efecto establezca la Agencia de Administración Fiscal de Yucatán </w:t>
      </w:r>
      <w:r w:rsidRPr="004B3AC1">
        <w:rPr>
          <w:rFonts w:ascii="Arial" w:hAnsi="Arial" w:cs="Arial"/>
          <w:sz w:val="24"/>
          <w:szCs w:val="24"/>
        </w:rPr>
        <w:t xml:space="preserve">y sean publicados en el </w:t>
      </w:r>
      <w:r w:rsidRPr="004B3AC1">
        <w:rPr>
          <w:rFonts w:ascii="Arial" w:eastAsia="Times New Roman" w:hAnsi="Arial" w:cs="Arial"/>
          <w:sz w:val="24"/>
          <w:szCs w:val="24"/>
          <w:lang w:eastAsia="es-MX"/>
        </w:rPr>
        <w:t>Diario Oficial del Gobierno del Estado de Yucatán</w:t>
      </w:r>
      <w:r w:rsidRPr="004B3AC1">
        <w:rPr>
          <w:rFonts w:ascii="Arial" w:hAnsi="Arial" w:cs="Arial"/>
          <w:sz w:val="24"/>
          <w:szCs w:val="24"/>
        </w:rPr>
        <w:t>.</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hAnsi="Arial" w:cs="Arial"/>
          <w:b/>
          <w:sz w:val="24"/>
          <w:szCs w:val="24"/>
        </w:rPr>
        <w:t xml:space="preserve">Artículo </w:t>
      </w:r>
      <w:r w:rsidR="007E0DA3" w:rsidRPr="004B3AC1">
        <w:rPr>
          <w:rFonts w:ascii="Arial" w:hAnsi="Arial"/>
          <w:b/>
          <w:sz w:val="24"/>
        </w:rPr>
        <w:t>30</w:t>
      </w:r>
      <w:r w:rsidRPr="004B3AC1">
        <w:rPr>
          <w:rFonts w:ascii="Arial" w:hAnsi="Arial" w:cs="Arial"/>
          <w:b/>
          <w:sz w:val="24"/>
          <w:szCs w:val="24"/>
        </w:rPr>
        <w:t>. Créditos fiscales incosteables</w:t>
      </w:r>
    </w:p>
    <w:p w:rsidR="00EF3102" w:rsidRPr="004B3AC1" w:rsidRDefault="00EF3102"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Se faculta a las autoridades fiscales para que lleven a cabo la cancelación de los créditos fiscales cuyo cobro les corresponda efectuar, en los casos en que aquellos sean incosteables.</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Para que un crédito se considere incosteable, la autoridad fiscal evaluará los siguientes conceptos: monto del crédito, costo de las acciones de recuperación, antigüedad del crédito y probabilidad de cobro.</w:t>
      </w:r>
    </w:p>
    <w:p w:rsidR="00EF310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La Agencia de Administración Fiscal de Yucatán establecerá, con sujeción a los lineamientos establecidos en este artículo, el tipo de casos o supuestos en que procederá la cancelación a que se refiere este artículo.</w:t>
      </w:r>
    </w:p>
    <w:p w:rsidR="00937932" w:rsidRPr="004B3AC1" w:rsidRDefault="00EF3102"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La cancelación de los créditos a que se refiere este artículo no libera de su pago.</w:t>
      </w:r>
    </w:p>
    <w:p w:rsidR="00D8306C" w:rsidRPr="004B3AC1" w:rsidRDefault="00D8306C" w:rsidP="00EF3102">
      <w:pPr>
        <w:spacing w:before="100" w:beforeAutospacing="1" w:after="100" w:afterAutospacing="1" w:line="240" w:lineRule="auto"/>
        <w:jc w:val="center"/>
        <w:rPr>
          <w:rFonts w:ascii="Arial" w:hAnsi="Arial" w:cs="Arial"/>
          <w:sz w:val="24"/>
          <w:szCs w:val="24"/>
        </w:rPr>
      </w:pPr>
      <w:r w:rsidRPr="004B3AC1">
        <w:rPr>
          <w:rFonts w:ascii="Arial" w:hAnsi="Arial" w:cs="Arial"/>
          <w:b/>
          <w:sz w:val="24"/>
          <w:szCs w:val="24"/>
        </w:rPr>
        <w:t>Artículos transitorios</w:t>
      </w:r>
    </w:p>
    <w:p w:rsidR="00D8306C" w:rsidRPr="004B3AC1" w:rsidRDefault="00D8306C"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b/>
          <w:sz w:val="24"/>
          <w:szCs w:val="24"/>
        </w:rPr>
        <w:t>Primero. Entrada en vigor</w:t>
      </w:r>
    </w:p>
    <w:p w:rsidR="00D8306C" w:rsidRPr="004B3AC1" w:rsidRDefault="00D8306C"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 xml:space="preserve">Este decreto entrará en vigor el 1 de enero de </w:t>
      </w:r>
      <w:r w:rsidR="008A5C11" w:rsidRPr="004B3AC1">
        <w:rPr>
          <w:rFonts w:ascii="Arial" w:eastAsia="Times New Roman" w:hAnsi="Arial" w:cs="Arial"/>
          <w:sz w:val="24"/>
          <w:szCs w:val="24"/>
          <w:lang w:eastAsia="es-MX"/>
        </w:rPr>
        <w:t>2020</w:t>
      </w:r>
      <w:r w:rsidRPr="004B3AC1">
        <w:rPr>
          <w:rFonts w:ascii="Arial" w:eastAsia="Times New Roman" w:hAnsi="Arial" w:cs="Arial"/>
          <w:sz w:val="24"/>
          <w:szCs w:val="24"/>
          <w:lang w:eastAsia="es-MX"/>
        </w:rPr>
        <w:t>, previa publicación en el Diario Oficial del Gobierno del Estado de Yucatán, y tendrá vigencia hasta el 31 de diciembre del mismo año.</w:t>
      </w:r>
    </w:p>
    <w:p w:rsidR="00D8306C" w:rsidRPr="004B3AC1" w:rsidRDefault="00D8306C" w:rsidP="00EF3102">
      <w:pPr>
        <w:spacing w:before="100" w:beforeAutospacing="1" w:after="100" w:afterAutospacing="1" w:line="240" w:lineRule="auto"/>
        <w:jc w:val="both"/>
        <w:rPr>
          <w:rFonts w:ascii="Arial" w:eastAsia="Times New Roman" w:hAnsi="Arial" w:cs="Arial"/>
          <w:b/>
          <w:sz w:val="24"/>
          <w:szCs w:val="24"/>
          <w:lang w:eastAsia="es-MX"/>
        </w:rPr>
      </w:pPr>
      <w:r w:rsidRPr="004B3AC1">
        <w:rPr>
          <w:rFonts w:ascii="Arial" w:eastAsia="Times New Roman" w:hAnsi="Arial" w:cs="Arial"/>
          <w:b/>
          <w:sz w:val="24"/>
          <w:szCs w:val="24"/>
          <w:lang w:eastAsia="es-MX"/>
        </w:rPr>
        <w:t xml:space="preserve">Segundo. Derogación </w:t>
      </w:r>
    </w:p>
    <w:p w:rsidR="00D8306C" w:rsidRPr="004B3AC1" w:rsidRDefault="00D8306C"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 xml:space="preserve">Se derogan las disposiciones que contengan exenciones, totales o parciales, o consideren a personas como no sujetos de contribuciones estatales, otorguen tratamientos preferenciales o diferenciales en materia de ingresos y contribuciones estatales, distintos de los establecidos en la Ley de Ingresos del Estado de Yucatán para el Ejercicio Fiscal </w:t>
      </w:r>
      <w:r w:rsidR="008A5C11" w:rsidRPr="004B3AC1">
        <w:rPr>
          <w:rFonts w:ascii="Arial" w:eastAsia="Times New Roman" w:hAnsi="Arial" w:cs="Arial"/>
          <w:sz w:val="24"/>
          <w:szCs w:val="24"/>
          <w:lang w:eastAsia="es-MX"/>
        </w:rPr>
        <w:t>2020</w:t>
      </w:r>
      <w:r w:rsidRPr="004B3AC1">
        <w:rPr>
          <w:rFonts w:ascii="Arial" w:eastAsia="Times New Roman" w:hAnsi="Arial" w:cs="Arial"/>
          <w:sz w:val="24"/>
          <w:szCs w:val="24"/>
          <w:lang w:eastAsia="es-MX"/>
        </w:rPr>
        <w:t>, en el Código Fiscal del Estado de Yucatán, en los decretos expedidos por el Poder Ejecutivo del estado y en las leyes que establecen dichas contribuciones, así como sus reglamentos.</w:t>
      </w:r>
    </w:p>
    <w:p w:rsidR="00D8306C" w:rsidRPr="004B3AC1" w:rsidRDefault="00D8306C"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Se derogan las disposiciones contenidas en leyes de carácter no fiscal que establezcan que los ingresos que obtengan las dependencias, incluyendo sus órganos administrativos desconcentrados, o entidades, por concepto de derechos, productos o aprovechamientos e ingresos de cualquier otra naturaleza, serán considerados como ingresos excedentes en el ejercicio fiscal en que se generen.</w:t>
      </w:r>
    </w:p>
    <w:p w:rsidR="00D8306C" w:rsidRPr="004B3AC1" w:rsidRDefault="00D8306C" w:rsidP="00EF3102">
      <w:pPr>
        <w:spacing w:before="100" w:beforeAutospacing="1" w:after="100" w:afterAutospacing="1" w:line="240" w:lineRule="auto"/>
        <w:rPr>
          <w:rFonts w:ascii="Arial" w:hAnsi="Arial" w:cs="Arial"/>
          <w:sz w:val="24"/>
          <w:szCs w:val="24"/>
        </w:rPr>
      </w:pPr>
      <w:r w:rsidRPr="004B3AC1">
        <w:rPr>
          <w:rFonts w:ascii="Arial" w:eastAsia="Times New Roman" w:hAnsi="Arial" w:cs="Arial"/>
          <w:b/>
          <w:sz w:val="24"/>
          <w:szCs w:val="24"/>
          <w:lang w:eastAsia="es-MX"/>
        </w:rPr>
        <w:t>Tercero. Obligación de los entes públicos</w:t>
      </w:r>
    </w:p>
    <w:p w:rsidR="00D8306C" w:rsidRPr="004B3AC1" w:rsidRDefault="00D8306C" w:rsidP="00EF3102">
      <w:pPr>
        <w:spacing w:before="100" w:beforeAutospacing="1" w:after="100" w:afterAutospacing="1" w:line="240" w:lineRule="auto"/>
        <w:jc w:val="both"/>
        <w:rPr>
          <w:rFonts w:ascii="Arial" w:hAnsi="Arial" w:cs="Arial"/>
          <w:sz w:val="24"/>
          <w:szCs w:val="24"/>
        </w:rPr>
      </w:pPr>
      <w:r w:rsidRPr="004B3AC1">
        <w:rPr>
          <w:rFonts w:ascii="Arial" w:eastAsia="Times New Roman" w:hAnsi="Arial" w:cs="Arial"/>
          <w:sz w:val="24"/>
          <w:szCs w:val="24"/>
          <w:lang w:eastAsia="es-MX"/>
        </w:rPr>
        <w:t xml:space="preserve">Los entes públicos que reciban ingresos de los previstos en la Ley de Ingresos del Estado de Yucatán para el Ejercicio Fiscal </w:t>
      </w:r>
      <w:r w:rsidR="008A5C11" w:rsidRPr="004B3AC1">
        <w:rPr>
          <w:rFonts w:ascii="Arial" w:eastAsia="Times New Roman" w:hAnsi="Arial" w:cs="Arial"/>
          <w:sz w:val="24"/>
          <w:szCs w:val="24"/>
          <w:lang w:eastAsia="es-MX"/>
        </w:rPr>
        <w:t>2020</w:t>
      </w:r>
      <w:r w:rsidRPr="004B3AC1">
        <w:rPr>
          <w:rFonts w:ascii="Arial" w:eastAsia="Times New Roman" w:hAnsi="Arial" w:cs="Arial"/>
          <w:sz w:val="24"/>
          <w:szCs w:val="24"/>
          <w:lang w:eastAsia="es-MX"/>
        </w:rPr>
        <w:t xml:space="preserve"> deberán elaborar y difundir en sus respectivos sitios web documentos dirigidos a la ciudadanía que expliquen, de manera sencilla y en los formatos aprobados por el Consejo Nacional de Armonización Contable, el contenido de la Ley de Ingresos del Estado de Yucatán para el Ejercicio Fiscal </w:t>
      </w:r>
      <w:r w:rsidR="008A5C11" w:rsidRPr="004B3AC1">
        <w:rPr>
          <w:rFonts w:ascii="Arial" w:eastAsia="Times New Roman" w:hAnsi="Arial" w:cs="Arial"/>
          <w:sz w:val="24"/>
          <w:szCs w:val="24"/>
          <w:lang w:eastAsia="es-MX"/>
        </w:rPr>
        <w:t>2020</w:t>
      </w:r>
      <w:r w:rsidRPr="004B3AC1">
        <w:rPr>
          <w:rFonts w:ascii="Arial" w:eastAsia="Times New Roman" w:hAnsi="Arial" w:cs="Arial"/>
          <w:sz w:val="24"/>
          <w:szCs w:val="24"/>
          <w:lang w:eastAsia="es-MX"/>
        </w:rPr>
        <w:t>.</w:t>
      </w:r>
    </w:p>
    <w:p w:rsidR="00D8306C" w:rsidRPr="004B3AC1" w:rsidRDefault="00D8306C"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b/>
          <w:sz w:val="24"/>
          <w:szCs w:val="24"/>
          <w:lang w:eastAsia="es-MX"/>
        </w:rPr>
        <w:t>Cuarto. Autoridades fiscales</w:t>
      </w:r>
    </w:p>
    <w:p w:rsidR="00D8306C" w:rsidRPr="004B3AC1" w:rsidRDefault="00D8306C"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eastAsia="Times New Roman" w:hAnsi="Arial" w:cs="Arial"/>
          <w:sz w:val="24"/>
          <w:szCs w:val="24"/>
          <w:lang w:eastAsia="es-MX"/>
        </w:rPr>
        <w:t>Para los efectos relacionados con el cobro de contribuciones estatales, se derogan todas las disposiciones que establezcan el carácter de autoridad fiscal a cualquier dependencia, órgano u organismo distinto de la Agencia de Administración Fiscal de Yucatán.</w:t>
      </w:r>
    </w:p>
    <w:p w:rsidR="000B736B" w:rsidRPr="004B3AC1" w:rsidRDefault="00D94E42" w:rsidP="00EF3102">
      <w:pPr>
        <w:spacing w:before="100" w:beforeAutospacing="1" w:after="100" w:afterAutospacing="1" w:line="240" w:lineRule="auto"/>
        <w:jc w:val="both"/>
        <w:rPr>
          <w:rFonts w:ascii="Arial" w:eastAsia="Times New Roman" w:hAnsi="Arial" w:cs="Arial"/>
          <w:b/>
          <w:bCs/>
          <w:sz w:val="24"/>
          <w:szCs w:val="24"/>
          <w:lang w:eastAsia="es-MX"/>
        </w:rPr>
      </w:pPr>
      <w:r w:rsidRPr="004B3AC1">
        <w:rPr>
          <w:rFonts w:ascii="Arial" w:eastAsia="Times New Roman" w:hAnsi="Arial" w:cs="Arial"/>
          <w:b/>
          <w:bCs/>
          <w:sz w:val="24"/>
          <w:szCs w:val="24"/>
          <w:lang w:eastAsia="es-MX"/>
        </w:rPr>
        <w:t>Quinto</w:t>
      </w:r>
      <w:r w:rsidR="000B736B" w:rsidRPr="004B3AC1">
        <w:rPr>
          <w:rFonts w:ascii="Arial" w:eastAsia="Times New Roman" w:hAnsi="Arial" w:cs="Arial"/>
          <w:b/>
          <w:bCs/>
          <w:sz w:val="24"/>
          <w:szCs w:val="24"/>
          <w:lang w:eastAsia="es-MX"/>
        </w:rPr>
        <w:t>. Fideicomisos</w:t>
      </w:r>
    </w:p>
    <w:p w:rsidR="000B736B" w:rsidRPr="004B3AC1" w:rsidRDefault="000B736B" w:rsidP="00EF3102">
      <w:pPr>
        <w:spacing w:before="100" w:beforeAutospacing="1" w:after="100" w:afterAutospacing="1" w:line="240" w:lineRule="auto"/>
        <w:jc w:val="both"/>
        <w:rPr>
          <w:rFonts w:ascii="Arial" w:eastAsia="Times New Roman" w:hAnsi="Arial" w:cs="Arial"/>
          <w:sz w:val="24"/>
          <w:szCs w:val="24"/>
          <w:lang w:eastAsia="es-MX"/>
        </w:rPr>
      </w:pPr>
      <w:r w:rsidRPr="004B3AC1">
        <w:rPr>
          <w:rFonts w:ascii="Arial" w:hAnsi="Arial" w:cs="Arial"/>
          <w:sz w:val="24"/>
          <w:szCs w:val="24"/>
        </w:rPr>
        <w:t>Las dependencias y entidades que coordinen la operación de fideicomisos públicos sin estructura orgánica, mandatos y análogos, salvo los que determine la Secretaría de Hacienda y Crédito Público, concentrarán en la Tesorería de la Federación, en términos de las disposiciones específicas que emita, los recursos públicos disponibles no comprometidos al 31 de diciembre de 2019 en dichos vehículos, salvaguardando en todo momento los derechos de terceros.</w:t>
      </w:r>
    </w:p>
    <w:p w:rsidR="00D8306C" w:rsidRPr="004B3AC1" w:rsidRDefault="000B736B"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Lo anterior no será obligatorio a los instrumentos jurídicos que por disposición expresa de ley los recursos públicos deban permanecer en el patrimonio o afectos a los mismos, así como a aquéllos en materia de pensiones y seguridad social, desastres naturales, infraestructura, y aquéllos que sirvan como mecanismo de garantía o fuente de pago de obligaciones a cargo del Gobierno </w:t>
      </w:r>
      <w:r w:rsidR="003C2A3D" w:rsidRPr="004B3AC1">
        <w:rPr>
          <w:rFonts w:ascii="Arial" w:hAnsi="Arial" w:cs="Arial"/>
          <w:sz w:val="24"/>
          <w:szCs w:val="24"/>
        </w:rPr>
        <w:t>del estado</w:t>
      </w:r>
      <w:r w:rsidRPr="004B3AC1">
        <w:rPr>
          <w:rFonts w:ascii="Arial" w:hAnsi="Arial" w:cs="Arial"/>
          <w:sz w:val="24"/>
          <w:szCs w:val="24"/>
        </w:rPr>
        <w:t xml:space="preserve"> o sus entidades paraestatales.</w:t>
      </w:r>
    </w:p>
    <w:p w:rsidR="00D8306C" w:rsidRPr="004B3AC1" w:rsidRDefault="000B736B" w:rsidP="00EF3102">
      <w:pPr>
        <w:spacing w:before="100" w:beforeAutospacing="1" w:after="100" w:afterAutospacing="1" w:line="240" w:lineRule="auto"/>
        <w:jc w:val="both"/>
        <w:rPr>
          <w:rFonts w:ascii="Arial" w:hAnsi="Arial" w:cs="Arial"/>
          <w:sz w:val="24"/>
          <w:szCs w:val="24"/>
        </w:rPr>
      </w:pPr>
      <w:r w:rsidRPr="004B3AC1">
        <w:rPr>
          <w:rFonts w:ascii="Arial" w:hAnsi="Arial" w:cs="Arial"/>
          <w:sz w:val="24"/>
          <w:szCs w:val="24"/>
        </w:rPr>
        <w:t xml:space="preserve">Asimismo, las dependencias y entidades deberán remitir a la Secretaría de </w:t>
      </w:r>
      <w:r w:rsidR="003C2A3D" w:rsidRPr="004B3AC1">
        <w:rPr>
          <w:rFonts w:ascii="Arial" w:hAnsi="Arial" w:cs="Arial"/>
          <w:sz w:val="24"/>
          <w:szCs w:val="24"/>
        </w:rPr>
        <w:t>Administración y Finanzas</w:t>
      </w:r>
      <w:r w:rsidRPr="004B3AC1">
        <w:rPr>
          <w:rFonts w:ascii="Arial" w:hAnsi="Arial" w:cs="Arial"/>
          <w:sz w:val="24"/>
          <w:szCs w:val="24"/>
        </w:rPr>
        <w:t xml:space="preserve"> durante el primer trimestre del ejercicio fiscal, un informe de los fideicomisos, mandatos o análogos públicos susceptibles de extinguirse en términos de las disposiciones aplicables, lo anterior a efecto de que durante el ejercicio fiscal 2020 se lleven a cabo los actos necesarios para la extinción de dichos vehículos.</w:t>
      </w:r>
    </w:p>
    <w:p w:rsidR="00D8306C" w:rsidRPr="004B3AC1" w:rsidRDefault="00D8306C" w:rsidP="00EF3102">
      <w:pPr>
        <w:spacing w:before="100" w:beforeAutospacing="1" w:after="100" w:afterAutospacing="1" w:line="240" w:lineRule="auto"/>
        <w:jc w:val="both"/>
        <w:rPr>
          <w:rFonts w:ascii="Arial" w:hAnsi="Arial" w:cs="Arial"/>
          <w:sz w:val="24"/>
          <w:szCs w:val="24"/>
        </w:rPr>
      </w:pPr>
    </w:p>
    <w:p w:rsidR="00D8306C" w:rsidRPr="004B3AC1" w:rsidRDefault="00D8306C" w:rsidP="00EF3102">
      <w:pPr>
        <w:spacing w:before="100" w:beforeAutospacing="1" w:after="100" w:afterAutospacing="1" w:line="240" w:lineRule="auto"/>
        <w:jc w:val="center"/>
        <w:rPr>
          <w:rFonts w:ascii="Arial" w:hAnsi="Arial" w:cs="Arial"/>
          <w:b/>
          <w:sz w:val="24"/>
          <w:szCs w:val="24"/>
        </w:rPr>
      </w:pPr>
      <w:r w:rsidRPr="004B3AC1">
        <w:rPr>
          <w:rFonts w:ascii="Arial" w:hAnsi="Arial" w:cs="Arial"/>
          <w:b/>
          <w:sz w:val="24"/>
          <w:szCs w:val="24"/>
        </w:rPr>
        <w:t>Atentamente</w:t>
      </w:r>
    </w:p>
    <w:p w:rsidR="00D8306C" w:rsidRPr="004B3AC1" w:rsidRDefault="00D8306C" w:rsidP="00EF3102">
      <w:pPr>
        <w:spacing w:before="100" w:beforeAutospacing="1" w:after="100" w:afterAutospacing="1" w:line="240" w:lineRule="auto"/>
        <w:jc w:val="center"/>
        <w:rPr>
          <w:rFonts w:ascii="Arial" w:eastAsia="Times New Roman" w:hAnsi="Arial" w:cs="Arial"/>
          <w:sz w:val="24"/>
          <w:szCs w:val="24"/>
          <w:lang w:eastAsia="es-MX"/>
        </w:rPr>
      </w:pPr>
    </w:p>
    <w:p w:rsidR="00D8306C" w:rsidRPr="004B3AC1" w:rsidRDefault="00D8306C" w:rsidP="00EF3102">
      <w:pPr>
        <w:spacing w:before="100" w:beforeAutospacing="1" w:after="100" w:afterAutospacing="1" w:line="240" w:lineRule="auto"/>
        <w:jc w:val="center"/>
        <w:rPr>
          <w:rFonts w:ascii="Arial" w:hAnsi="Arial" w:cs="Arial"/>
          <w:b/>
          <w:sz w:val="24"/>
          <w:szCs w:val="24"/>
        </w:rPr>
      </w:pPr>
      <w:r w:rsidRPr="004B3AC1">
        <w:rPr>
          <w:rFonts w:ascii="Arial" w:hAnsi="Arial" w:cs="Arial"/>
          <w:b/>
          <w:sz w:val="24"/>
          <w:szCs w:val="24"/>
        </w:rPr>
        <w:t>Lic. Mauricio Vila Dosal</w:t>
      </w:r>
      <w:r w:rsidRPr="004B3AC1">
        <w:rPr>
          <w:rFonts w:ascii="Arial" w:hAnsi="Arial" w:cs="Arial"/>
          <w:b/>
          <w:sz w:val="24"/>
          <w:szCs w:val="24"/>
        </w:rPr>
        <w:br/>
        <w:t>Gobernador del estado de Yucatán</w:t>
      </w:r>
    </w:p>
    <w:p w:rsidR="00D8306C" w:rsidRPr="004B3AC1" w:rsidRDefault="00D8306C" w:rsidP="00EF3102">
      <w:pPr>
        <w:spacing w:before="100" w:beforeAutospacing="1" w:after="100" w:afterAutospacing="1" w:line="240" w:lineRule="auto"/>
        <w:jc w:val="center"/>
        <w:rPr>
          <w:rFonts w:ascii="Arial" w:hAnsi="Arial" w:cs="Arial"/>
          <w:sz w:val="24"/>
          <w:szCs w:val="24"/>
        </w:rPr>
      </w:pPr>
    </w:p>
    <w:p w:rsidR="00D8306C" w:rsidRPr="004B3AC1" w:rsidRDefault="00F5688A" w:rsidP="00EF3102">
      <w:pPr>
        <w:spacing w:before="100" w:beforeAutospacing="1" w:after="100" w:afterAutospacing="1" w:line="240" w:lineRule="auto"/>
        <w:outlineLvl w:val="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8752" behindDoc="0" locked="0" layoutInCell="1" allowOverlap="1">
                <wp:simplePos x="0" y="0"/>
                <wp:positionH relativeFrom="column">
                  <wp:posOffset>2884805</wp:posOffset>
                </wp:positionH>
                <wp:positionV relativeFrom="page">
                  <wp:posOffset>857250</wp:posOffset>
                </wp:positionV>
                <wp:extent cx="2879725" cy="5975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97535"/>
                        </a:xfrm>
                        <a:prstGeom prst="rect">
                          <a:avLst/>
                        </a:prstGeom>
                        <a:solidFill>
                          <a:srgbClr val="FFFFFF"/>
                        </a:solidFill>
                        <a:ln>
                          <a:noFill/>
                        </a:ln>
                      </wps:spPr>
                      <wps:txbx>
                        <w:txbxContent>
                          <w:p w:rsidR="00881527" w:rsidRPr="00955C5A" w:rsidRDefault="00881527" w:rsidP="007415BB">
                            <w:pPr>
                              <w:autoSpaceDE w:val="0"/>
                              <w:autoSpaceDN w:val="0"/>
                              <w:adjustRightInd w:val="0"/>
                              <w:spacing w:before="100" w:beforeAutospacing="1" w:after="100" w:afterAutospacing="1" w:line="240" w:lineRule="auto"/>
                              <w:jc w:val="both"/>
                              <w:rPr>
                                <w:rFonts w:ascii="Arial" w:hAnsi="Arial" w:cs="Arial"/>
                                <w:sz w:val="20"/>
                                <w:szCs w:val="20"/>
                              </w:rPr>
                            </w:pPr>
                            <w:r w:rsidRPr="00955C5A">
                              <w:rPr>
                                <w:rFonts w:ascii="Arial" w:hAnsi="Arial" w:cs="Arial"/>
                                <w:sz w:val="20"/>
                                <w:szCs w:val="20"/>
                              </w:rPr>
                              <w:t>Esta hoja de firmas forma parte de la Iniciativa para expedir la Ley de Ingres</w:t>
                            </w:r>
                            <w:r>
                              <w:rPr>
                                <w:rFonts w:ascii="Arial" w:hAnsi="Arial" w:cs="Arial"/>
                                <w:sz w:val="20"/>
                                <w:szCs w:val="20"/>
                              </w:rPr>
                              <w:t>os para el Ejercicio Fiscal 2020</w:t>
                            </w:r>
                            <w:r w:rsidRPr="00955C5A">
                              <w:rPr>
                                <w:rFonts w:ascii="Arial" w:hAnsi="Arial" w:cs="Arial"/>
                                <w:sz w:val="20"/>
                                <w:szCs w:val="20"/>
                              </w:rPr>
                              <w:t>.</w:t>
                            </w:r>
                          </w:p>
                          <w:p w:rsidR="00881527" w:rsidRDefault="00881527" w:rsidP="007415BB">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7.15pt;margin-top:67.5pt;width:226.75pt;height:4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47BwIAAO8DAAAOAAAAZHJzL2Uyb0RvYy54bWysU8GO0zAQvSPxD5bvNG1o6DZqulq6KkJa&#10;FqRdPsBxnMQi8Zix26R8PWOnW6rlhsjBynjGz++9GW9ux75jR4VOgyn4YjbnTBkJlTZNwb8/79/d&#10;cOa8MJXowKiCn5Tjt9u3bzaDzVUKLXSVQkYgxuWDLXjrvc2TxMlW9cLNwCpDyRqwF55CbJIKxUDo&#10;fZek8/mHZACsLIJUztHu/ZTk24hf10r6r3XtlGddwYmbjyvGtQxrst2IvEFhWy3PNMQ/sOiFNnTp&#10;BepeeMEOqP+C6rVEcFD7mYQ+gbrWUkUNpGYxf6XmqRVWRS1kjrMXm9z/g5WPx2/IdFXwlDMjemrR&#10;sxo9+wgjy4I7g3U5FT1ZKvMjbVOXo1JnH0D+cMzArhWmUXeIMLRKVMRuEU4mV0cnHBdAyuELVHSN&#10;OHiIQGONfbCOzGCETl06XToTqEjaTG9W61WacSYpl61X2ftILhH5y2mLzn9S0LPwU3Ckzkd0cXxw&#10;PrAR+UtJuMxBp6u97roYYFPuOmRHQVOyj18U8KqsM6HYQDg2IYadKDMomzT6sRzPtpVQnUgwwjR1&#10;9EropwX8xdlAE1dw9/MgUHHWfTZk2nqxXIYRjcEyW6UU4HWmvM4IIwmq4J6z6Xfnp7E+WNRNSzdN&#10;bTJwR0bXOnoQOjKxOvOmqYrWnF9AGNvrOFb9eafb3wAAAP//AwBQSwMEFAAGAAgAAAAhACTwa1Xf&#10;AAAACwEAAA8AAABkcnMvZG93bnJldi54bWxMj9FOg0AQRd9N/IfNmPhi7FIKRZClURONr639gIHd&#10;ApGdJey20L93fNLHyb25c065W+wgLmbyvSMF61UEwlDjdE+tguPX++MTCB+QNA6OjIKr8bCrbm9K&#10;LLSbaW8uh9AKHiFfoIIuhLGQ0jedsehXbjTE2clNFgOfUyv1hDOP20HGUbSVFnviDx2O5q0zzffh&#10;bBWcPueHNJ/rj3DM9sn2Ffusdlel7u+Wl2cQwSzhrwy/+IwOFTPV7kzai0FBkiYbrnKwSVmKG3mU&#10;sUytII7zNciqlP8dqh8AAAD//wMAUEsBAi0AFAAGAAgAAAAhALaDOJL+AAAA4QEAABMAAAAAAAAA&#10;AAAAAAAAAAAAAFtDb250ZW50X1R5cGVzXS54bWxQSwECLQAUAAYACAAAACEAOP0h/9YAAACUAQAA&#10;CwAAAAAAAAAAAAAAAAAvAQAAX3JlbHMvLnJlbHNQSwECLQAUAAYACAAAACEADD7eOwcCAADvAwAA&#10;DgAAAAAAAAAAAAAAAAAuAgAAZHJzL2Uyb0RvYy54bWxQSwECLQAUAAYACAAAACEAJPBrVd8AAAAL&#10;AQAADwAAAAAAAAAAAAAAAABhBAAAZHJzL2Rvd25yZXYueG1sUEsFBgAAAAAEAAQA8wAAAG0FAAAA&#10;AA==&#10;" stroked="f">
                <v:textbox>
                  <w:txbxContent>
                    <w:p w:rsidR="00881527" w:rsidRPr="00955C5A" w:rsidRDefault="00881527" w:rsidP="007415BB">
                      <w:pPr>
                        <w:autoSpaceDE w:val="0"/>
                        <w:autoSpaceDN w:val="0"/>
                        <w:adjustRightInd w:val="0"/>
                        <w:spacing w:before="100" w:beforeAutospacing="1" w:after="100" w:afterAutospacing="1" w:line="240" w:lineRule="auto"/>
                        <w:jc w:val="both"/>
                        <w:rPr>
                          <w:rFonts w:ascii="Arial" w:hAnsi="Arial" w:cs="Arial"/>
                          <w:sz w:val="20"/>
                          <w:szCs w:val="20"/>
                        </w:rPr>
                      </w:pPr>
                      <w:r w:rsidRPr="00955C5A">
                        <w:rPr>
                          <w:rFonts w:ascii="Arial" w:hAnsi="Arial" w:cs="Arial"/>
                          <w:sz w:val="20"/>
                          <w:szCs w:val="20"/>
                        </w:rPr>
                        <w:t>Esta hoja de firmas forma parte de la Iniciativa para expedir la Ley de Ingres</w:t>
                      </w:r>
                      <w:r>
                        <w:rPr>
                          <w:rFonts w:ascii="Arial" w:hAnsi="Arial" w:cs="Arial"/>
                          <w:sz w:val="20"/>
                          <w:szCs w:val="20"/>
                        </w:rPr>
                        <w:t>os para el Ejercicio Fiscal 2020</w:t>
                      </w:r>
                      <w:r w:rsidRPr="00955C5A">
                        <w:rPr>
                          <w:rFonts w:ascii="Arial" w:hAnsi="Arial" w:cs="Arial"/>
                          <w:sz w:val="20"/>
                          <w:szCs w:val="20"/>
                        </w:rPr>
                        <w:t>.</w:t>
                      </w:r>
                    </w:p>
                    <w:p w:rsidR="00881527" w:rsidRDefault="00881527" w:rsidP="007415BB">
                      <w:pPr>
                        <w:rPr>
                          <w:lang w:val="es-ES"/>
                        </w:rPr>
                      </w:pPr>
                    </w:p>
                  </w:txbxContent>
                </v:textbox>
                <w10:wrap anchory="page"/>
              </v:shape>
            </w:pict>
          </mc:Fallback>
        </mc:AlternateContent>
      </w:r>
      <w:r w:rsidR="00D8306C" w:rsidRPr="004B3AC1">
        <w:rPr>
          <w:rFonts w:ascii="Arial" w:hAnsi="Arial" w:cs="Arial"/>
          <w:b/>
          <w:sz w:val="24"/>
          <w:szCs w:val="24"/>
        </w:rPr>
        <w:t>Abog. María Dolores Fritz Sierra</w:t>
      </w:r>
      <w:r w:rsidR="00D8306C" w:rsidRPr="004B3AC1">
        <w:rPr>
          <w:rFonts w:ascii="Arial" w:hAnsi="Arial" w:cs="Arial"/>
          <w:b/>
          <w:sz w:val="24"/>
          <w:szCs w:val="24"/>
        </w:rPr>
        <w:br/>
        <w:t>Secretaria general de Gobierno</w:t>
      </w:r>
    </w:p>
    <w:p w:rsidR="00D8306C" w:rsidRPr="004B3AC1" w:rsidRDefault="00D8306C" w:rsidP="00937932">
      <w:pPr>
        <w:spacing w:before="100" w:beforeAutospacing="1" w:after="100" w:afterAutospacing="1" w:line="240" w:lineRule="auto"/>
        <w:jc w:val="both"/>
        <w:rPr>
          <w:rFonts w:ascii="Arial" w:hAnsi="Arial" w:cs="Arial"/>
          <w:sz w:val="24"/>
          <w:szCs w:val="24"/>
        </w:rPr>
      </w:pPr>
    </w:p>
    <w:p w:rsidR="00936BA7" w:rsidRPr="004B3AC1" w:rsidRDefault="00936BA7" w:rsidP="00937932">
      <w:pPr>
        <w:spacing w:before="100" w:beforeAutospacing="1" w:after="100" w:afterAutospacing="1" w:line="240" w:lineRule="auto"/>
        <w:jc w:val="both"/>
        <w:rPr>
          <w:rFonts w:ascii="Arial" w:hAnsi="Arial" w:cs="Arial"/>
          <w:sz w:val="24"/>
          <w:szCs w:val="24"/>
        </w:rPr>
      </w:pPr>
    </w:p>
    <w:p w:rsidR="00936BA7" w:rsidRPr="004B3AC1" w:rsidRDefault="00936BA7" w:rsidP="00937932">
      <w:pPr>
        <w:spacing w:before="100" w:beforeAutospacing="1" w:after="100" w:afterAutospacing="1" w:line="240" w:lineRule="auto"/>
        <w:jc w:val="both"/>
        <w:rPr>
          <w:rFonts w:ascii="Arial" w:hAnsi="Arial" w:cs="Arial"/>
          <w:sz w:val="24"/>
          <w:szCs w:val="24"/>
        </w:rPr>
      </w:pPr>
    </w:p>
    <w:p w:rsidR="00936BA7" w:rsidRPr="004B3AC1" w:rsidRDefault="00936BA7" w:rsidP="00937932">
      <w:pPr>
        <w:spacing w:before="100" w:beforeAutospacing="1" w:after="100" w:afterAutospacing="1" w:line="240" w:lineRule="auto"/>
        <w:jc w:val="both"/>
        <w:rPr>
          <w:rFonts w:ascii="Arial" w:hAnsi="Arial" w:cs="Arial"/>
          <w:sz w:val="24"/>
          <w:szCs w:val="24"/>
        </w:rPr>
      </w:pPr>
    </w:p>
    <w:p w:rsidR="00936BA7" w:rsidRPr="004B3AC1" w:rsidRDefault="00936BA7" w:rsidP="00937932">
      <w:pPr>
        <w:spacing w:before="100" w:beforeAutospacing="1" w:after="100" w:afterAutospacing="1" w:line="240" w:lineRule="auto"/>
        <w:jc w:val="both"/>
        <w:rPr>
          <w:rFonts w:ascii="Arial" w:hAnsi="Arial" w:cs="Arial"/>
          <w:sz w:val="24"/>
          <w:szCs w:val="24"/>
        </w:rPr>
      </w:pPr>
    </w:p>
    <w:p w:rsidR="00402B7D" w:rsidRPr="004B3AC1" w:rsidRDefault="00402B7D" w:rsidP="00937932">
      <w:pPr>
        <w:spacing w:before="100" w:beforeAutospacing="1" w:after="100" w:afterAutospacing="1" w:line="240" w:lineRule="auto"/>
        <w:jc w:val="both"/>
        <w:rPr>
          <w:rFonts w:ascii="Arial" w:hAnsi="Arial" w:cs="Arial"/>
          <w:sz w:val="24"/>
          <w:szCs w:val="24"/>
        </w:rPr>
      </w:pPr>
    </w:p>
    <w:p w:rsidR="00402B7D" w:rsidRPr="004B3AC1" w:rsidRDefault="00402B7D" w:rsidP="00937932">
      <w:pPr>
        <w:spacing w:before="100" w:beforeAutospacing="1" w:after="100" w:afterAutospacing="1" w:line="240" w:lineRule="auto"/>
        <w:jc w:val="both"/>
        <w:rPr>
          <w:rFonts w:ascii="Arial" w:hAnsi="Arial" w:cs="Arial"/>
          <w:sz w:val="24"/>
          <w:szCs w:val="24"/>
        </w:rPr>
      </w:pPr>
    </w:p>
    <w:p w:rsidR="00402B7D" w:rsidRPr="004B3AC1" w:rsidRDefault="00402B7D" w:rsidP="00937932">
      <w:pPr>
        <w:spacing w:before="100" w:beforeAutospacing="1" w:after="100" w:afterAutospacing="1" w:line="240" w:lineRule="auto"/>
        <w:jc w:val="both"/>
        <w:rPr>
          <w:rFonts w:ascii="Arial" w:hAnsi="Arial" w:cs="Arial"/>
          <w:sz w:val="24"/>
          <w:szCs w:val="24"/>
        </w:rPr>
        <w:sectPr w:rsidR="00402B7D" w:rsidRPr="004B3AC1" w:rsidSect="00937932">
          <w:footerReference w:type="default" r:id="rId8"/>
          <w:pgSz w:w="12240" w:h="15840"/>
          <w:pgMar w:top="2835" w:right="1701" w:bottom="1418" w:left="1701" w:header="709" w:footer="709" w:gutter="0"/>
          <w:cols w:space="708"/>
          <w:docGrid w:linePitch="360"/>
        </w:sectPr>
      </w:pPr>
    </w:p>
    <w:p w:rsidR="00C47A2D" w:rsidRPr="004B3AC1" w:rsidRDefault="00C47A2D" w:rsidP="00034757">
      <w:pPr>
        <w:spacing w:before="100" w:beforeAutospacing="1" w:after="100" w:afterAutospacing="1" w:line="240" w:lineRule="auto"/>
        <w:jc w:val="center"/>
        <w:rPr>
          <w:rFonts w:ascii="Arial" w:hAnsi="Arial" w:cs="Arial"/>
          <w:b/>
          <w:bCs/>
          <w:sz w:val="24"/>
          <w:szCs w:val="24"/>
        </w:rPr>
      </w:pPr>
      <w:r w:rsidRPr="004B3AC1">
        <w:rPr>
          <w:rFonts w:ascii="Arial" w:hAnsi="Arial" w:cs="Arial"/>
          <w:b/>
          <w:bCs/>
          <w:sz w:val="24"/>
          <w:szCs w:val="24"/>
        </w:rPr>
        <w:t>Anexo I</w:t>
      </w:r>
      <w:r w:rsidR="00AA11A1" w:rsidRPr="004B3AC1">
        <w:rPr>
          <w:rFonts w:ascii="Arial" w:hAnsi="Arial" w:cs="Arial"/>
          <w:b/>
          <w:bCs/>
          <w:sz w:val="24"/>
          <w:szCs w:val="24"/>
        </w:rPr>
        <w:t xml:space="preserve"> </w:t>
      </w:r>
    </w:p>
    <w:p w:rsidR="00AA11A1" w:rsidRPr="004B3AC1" w:rsidRDefault="00AA11A1" w:rsidP="00AA11A1">
      <w:pPr>
        <w:spacing w:after="0" w:line="240" w:lineRule="auto"/>
        <w:jc w:val="center"/>
        <w:rPr>
          <w:rFonts w:ascii="Arial" w:hAnsi="Arial" w:cs="Arial"/>
          <w:b/>
          <w:sz w:val="24"/>
          <w:szCs w:val="24"/>
        </w:rPr>
      </w:pPr>
      <w:r w:rsidRPr="004B3AC1">
        <w:rPr>
          <w:rFonts w:ascii="Arial" w:hAnsi="Arial" w:cs="Arial"/>
          <w:b/>
          <w:sz w:val="24"/>
          <w:szCs w:val="24"/>
        </w:rPr>
        <w:t xml:space="preserve">Proyecciones de ingresos a cinco </w:t>
      </w:r>
      <w:r w:rsidR="004E07BE" w:rsidRPr="004B3AC1">
        <w:rPr>
          <w:rFonts w:ascii="Arial" w:hAnsi="Arial" w:cs="Arial"/>
          <w:b/>
          <w:sz w:val="24"/>
          <w:szCs w:val="24"/>
        </w:rPr>
        <w:t xml:space="preserve">años </w:t>
      </w:r>
      <w:r w:rsidRPr="004B3AC1">
        <w:rPr>
          <w:rFonts w:ascii="Arial" w:hAnsi="Arial" w:cs="Arial"/>
          <w:b/>
          <w:sz w:val="24"/>
          <w:szCs w:val="24"/>
        </w:rPr>
        <w:t xml:space="preserve">y </w:t>
      </w:r>
    </w:p>
    <w:p w:rsidR="00C47A2D" w:rsidRPr="004B3AC1" w:rsidRDefault="004E07BE" w:rsidP="00AA11A1">
      <w:pPr>
        <w:spacing w:after="0" w:line="240" w:lineRule="auto"/>
        <w:jc w:val="center"/>
        <w:rPr>
          <w:rFonts w:ascii="Arial" w:hAnsi="Arial" w:cs="Arial"/>
          <w:b/>
          <w:sz w:val="24"/>
          <w:szCs w:val="24"/>
        </w:rPr>
      </w:pPr>
      <w:r w:rsidRPr="004B3AC1">
        <w:rPr>
          <w:rFonts w:ascii="Arial" w:hAnsi="Arial" w:cs="Arial"/>
          <w:b/>
          <w:sz w:val="24"/>
          <w:szCs w:val="24"/>
        </w:rPr>
        <w:t>r</w:t>
      </w:r>
      <w:r w:rsidR="00AA11A1" w:rsidRPr="004B3AC1">
        <w:rPr>
          <w:rFonts w:ascii="Arial" w:hAnsi="Arial" w:cs="Arial"/>
          <w:b/>
          <w:sz w:val="24"/>
          <w:szCs w:val="24"/>
        </w:rPr>
        <w:t>esultados de ingresos de cinco años anteriores</w:t>
      </w:r>
    </w:p>
    <w:p w:rsidR="00AA11A1" w:rsidRPr="004B3AC1" w:rsidRDefault="00AA11A1" w:rsidP="00AA11A1">
      <w:pPr>
        <w:spacing w:after="0" w:line="240" w:lineRule="auto"/>
        <w:jc w:val="center"/>
        <w:rPr>
          <w:rFonts w:ascii="Arial" w:hAnsi="Arial" w:cs="Arial"/>
          <w:b/>
          <w:bCs/>
          <w:sz w:val="24"/>
          <w:szCs w:val="24"/>
        </w:rPr>
      </w:pPr>
    </w:p>
    <w:p w:rsidR="007159C1" w:rsidRPr="004B3AC1" w:rsidRDefault="00084105">
      <w:r w:rsidRPr="004B3AC1">
        <w:rPr>
          <w:noProof/>
          <w:lang w:eastAsia="es-MX"/>
        </w:rPr>
        <w:drawing>
          <wp:inline distT="0" distB="0" distL="0" distR="0">
            <wp:extent cx="8303905" cy="44724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07505" cy="4474351"/>
                    </a:xfrm>
                    <a:prstGeom prst="rect">
                      <a:avLst/>
                    </a:prstGeom>
                    <a:noFill/>
                    <a:ln>
                      <a:noFill/>
                    </a:ln>
                  </pic:spPr>
                </pic:pic>
              </a:graphicData>
            </a:graphic>
          </wp:inline>
        </w:drawing>
      </w:r>
    </w:p>
    <w:p w:rsidR="00A11C87" w:rsidRPr="004B3AC1" w:rsidRDefault="00A11C87"/>
    <w:p w:rsidR="00A11C87" w:rsidRPr="004B3AC1" w:rsidRDefault="00A11C87"/>
    <w:p w:rsidR="00A11C87" w:rsidRPr="004B3AC1" w:rsidRDefault="00A11C87"/>
    <w:p w:rsidR="00A11C87" w:rsidRPr="004B3AC1" w:rsidRDefault="00A11C87"/>
    <w:p w:rsidR="00084105" w:rsidRPr="004B3AC1" w:rsidRDefault="00084105">
      <w:r w:rsidRPr="004B3AC1">
        <w:rPr>
          <w:noProof/>
          <w:lang w:eastAsia="es-MX"/>
        </w:rPr>
        <w:drawing>
          <wp:inline distT="0" distB="0" distL="0" distR="0">
            <wp:extent cx="8369892" cy="45086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1000" cy="4514608"/>
                    </a:xfrm>
                    <a:prstGeom prst="rect">
                      <a:avLst/>
                    </a:prstGeom>
                    <a:noFill/>
                    <a:ln>
                      <a:noFill/>
                    </a:ln>
                  </pic:spPr>
                </pic:pic>
              </a:graphicData>
            </a:graphic>
          </wp:inline>
        </w:drawing>
      </w:r>
    </w:p>
    <w:p w:rsidR="00A11C87" w:rsidRPr="004B3AC1" w:rsidRDefault="00A11C87"/>
    <w:p w:rsidR="00A11C87" w:rsidRPr="004B3AC1" w:rsidRDefault="00A11C87"/>
    <w:p w:rsidR="00084105" w:rsidRPr="004B3AC1" w:rsidRDefault="00084105"/>
    <w:p w:rsidR="00084105" w:rsidRPr="004B3AC1" w:rsidRDefault="00084105"/>
    <w:p w:rsidR="00084105" w:rsidRPr="004B3AC1" w:rsidRDefault="00084105"/>
    <w:p w:rsidR="00084105" w:rsidRPr="004B3AC1" w:rsidRDefault="00084105"/>
    <w:p w:rsidR="00402B7D" w:rsidRPr="004B3AC1" w:rsidRDefault="00EE7A86" w:rsidP="00034757">
      <w:pPr>
        <w:spacing w:before="100" w:beforeAutospacing="1" w:after="100" w:afterAutospacing="1" w:line="240" w:lineRule="auto"/>
        <w:jc w:val="center"/>
        <w:rPr>
          <w:rFonts w:ascii="Arial" w:hAnsi="Arial" w:cs="Arial"/>
          <w:b/>
          <w:bCs/>
          <w:sz w:val="24"/>
          <w:szCs w:val="24"/>
        </w:rPr>
      </w:pPr>
      <w:r w:rsidRPr="004B3AC1">
        <w:rPr>
          <w:rFonts w:ascii="Arial" w:hAnsi="Arial" w:cs="Arial"/>
          <w:b/>
          <w:bCs/>
          <w:sz w:val="24"/>
          <w:szCs w:val="24"/>
        </w:rPr>
        <w:t>Anex</w:t>
      </w:r>
      <w:r w:rsidR="009B1A8D" w:rsidRPr="004B3AC1">
        <w:rPr>
          <w:rFonts w:ascii="Arial" w:hAnsi="Arial" w:cs="Arial"/>
          <w:b/>
          <w:bCs/>
          <w:sz w:val="24"/>
          <w:szCs w:val="24"/>
        </w:rPr>
        <w:t>o II</w:t>
      </w:r>
    </w:p>
    <w:p w:rsidR="00EE7A86" w:rsidRPr="004B3AC1" w:rsidRDefault="00EE7A86" w:rsidP="00937932">
      <w:pPr>
        <w:spacing w:before="100" w:beforeAutospacing="1" w:after="100" w:afterAutospacing="1" w:line="240" w:lineRule="auto"/>
        <w:jc w:val="center"/>
        <w:rPr>
          <w:rFonts w:ascii="Arial" w:hAnsi="Arial" w:cs="Arial"/>
          <w:b/>
          <w:bCs/>
          <w:sz w:val="24"/>
          <w:szCs w:val="24"/>
        </w:rPr>
      </w:pPr>
      <w:r w:rsidRPr="004B3AC1">
        <w:rPr>
          <w:rFonts w:ascii="Arial" w:hAnsi="Arial" w:cs="Arial"/>
          <w:b/>
          <w:bCs/>
          <w:sz w:val="24"/>
          <w:szCs w:val="24"/>
        </w:rPr>
        <w:t>Calendarización de amortizaciones de los siguientes ejercicios fiscales</w:t>
      </w:r>
    </w:p>
    <w:tbl>
      <w:tblPr>
        <w:tblW w:w="13500" w:type="dxa"/>
        <w:jc w:val="center"/>
        <w:tblCellMar>
          <w:left w:w="70" w:type="dxa"/>
          <w:right w:w="70" w:type="dxa"/>
        </w:tblCellMar>
        <w:tblLook w:val="04A0" w:firstRow="1" w:lastRow="0" w:firstColumn="1" w:lastColumn="0" w:noHBand="0" w:noVBand="1"/>
      </w:tblPr>
      <w:tblGrid>
        <w:gridCol w:w="1740"/>
        <w:gridCol w:w="1960"/>
        <w:gridCol w:w="1960"/>
        <w:gridCol w:w="1960"/>
        <w:gridCol w:w="1960"/>
        <w:gridCol w:w="1960"/>
        <w:gridCol w:w="1960"/>
      </w:tblGrid>
      <w:tr w:rsidR="00B0154C" w:rsidRPr="004B3AC1" w:rsidTr="00D12929">
        <w:trPr>
          <w:trHeight w:val="397"/>
          <w:tblHeader/>
          <w:jc w:val="center"/>
        </w:trPr>
        <w:tc>
          <w:tcPr>
            <w:tcW w:w="1740" w:type="dxa"/>
            <w:vMerge w:val="restart"/>
            <w:tcBorders>
              <w:top w:val="single" w:sz="4" w:space="0" w:color="BFBFBF"/>
              <w:left w:val="single" w:sz="4" w:space="0" w:color="BFBFBF"/>
              <w:bottom w:val="single" w:sz="4" w:space="0" w:color="BFBFBF"/>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Año</w:t>
            </w:r>
          </w:p>
        </w:tc>
        <w:tc>
          <w:tcPr>
            <w:tcW w:w="9800" w:type="dxa"/>
            <w:gridSpan w:val="5"/>
            <w:tcBorders>
              <w:top w:val="single" w:sz="4" w:space="0" w:color="BFBFBF"/>
              <w:left w:val="nil"/>
              <w:bottom w:val="single" w:sz="4" w:space="0" w:color="BFBFBF"/>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Deuda pública directa</w:t>
            </w:r>
          </w:p>
        </w:tc>
        <w:tc>
          <w:tcPr>
            <w:tcW w:w="1960" w:type="dxa"/>
            <w:tcBorders>
              <w:top w:val="single" w:sz="4" w:space="0" w:color="BFBFBF"/>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Deuda pública con garantía</w:t>
            </w:r>
          </w:p>
        </w:tc>
      </w:tr>
      <w:tr w:rsidR="00B0154C" w:rsidRPr="004B3AC1" w:rsidTr="00D12929">
        <w:trPr>
          <w:trHeight w:val="397"/>
          <w:tblHeader/>
          <w:jc w:val="center"/>
        </w:trPr>
        <w:tc>
          <w:tcPr>
            <w:tcW w:w="1740" w:type="dxa"/>
            <w:vMerge/>
            <w:tcBorders>
              <w:top w:val="single" w:sz="4" w:space="0" w:color="BFBFBF"/>
              <w:left w:val="single" w:sz="4" w:space="0" w:color="BFBFBF"/>
              <w:bottom w:val="single" w:sz="4" w:space="0" w:color="BFBFBF"/>
              <w:right w:val="single" w:sz="4" w:space="0" w:color="BFBFBF"/>
            </w:tcBorders>
            <w:vAlign w:val="center"/>
            <w:hideMark/>
          </w:tcPr>
          <w:p w:rsidR="00B0154C" w:rsidRPr="004B3AC1" w:rsidRDefault="00B0154C" w:rsidP="00B0154C">
            <w:pPr>
              <w:spacing w:after="0" w:line="240" w:lineRule="auto"/>
              <w:rPr>
                <w:rFonts w:ascii="Arial" w:eastAsia="Times New Roman" w:hAnsi="Arial" w:cs="Arial"/>
                <w:b/>
                <w:bCs/>
                <w:color w:val="FFFFFF"/>
                <w:sz w:val="20"/>
                <w:szCs w:val="20"/>
                <w:lang w:eastAsia="es-MX"/>
              </w:rPr>
            </w:pPr>
          </w:p>
        </w:tc>
        <w:tc>
          <w:tcPr>
            <w:tcW w:w="1960" w:type="dxa"/>
            <w:tcBorders>
              <w:top w:val="nil"/>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Banobras, S.N.C.</w:t>
            </w:r>
            <w:r w:rsidRPr="004B3AC1">
              <w:rPr>
                <w:rFonts w:ascii="Arial" w:eastAsia="Times New Roman" w:hAnsi="Arial" w:cs="Arial"/>
                <w:b/>
                <w:bCs/>
                <w:color w:val="FFFFFF"/>
                <w:sz w:val="20"/>
                <w:szCs w:val="20"/>
                <w:lang w:eastAsia="es-MX"/>
              </w:rPr>
              <w:br/>
              <w:t>(Crédito No. 9940)</w:t>
            </w:r>
          </w:p>
        </w:tc>
        <w:tc>
          <w:tcPr>
            <w:tcW w:w="1960" w:type="dxa"/>
            <w:tcBorders>
              <w:top w:val="nil"/>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Banobras, S.N.C.</w:t>
            </w:r>
            <w:r w:rsidRPr="004B3AC1">
              <w:rPr>
                <w:rFonts w:ascii="Arial" w:eastAsia="Times New Roman" w:hAnsi="Arial" w:cs="Arial"/>
                <w:b/>
                <w:bCs/>
                <w:color w:val="FFFFFF"/>
                <w:sz w:val="20"/>
                <w:szCs w:val="20"/>
                <w:lang w:eastAsia="es-MX"/>
              </w:rPr>
              <w:br/>
              <w:t>(Crédito No. 11245)</w:t>
            </w:r>
          </w:p>
        </w:tc>
        <w:tc>
          <w:tcPr>
            <w:tcW w:w="1960" w:type="dxa"/>
            <w:tcBorders>
              <w:top w:val="nil"/>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Banorte, S.A.</w:t>
            </w:r>
          </w:p>
        </w:tc>
        <w:tc>
          <w:tcPr>
            <w:tcW w:w="1960" w:type="dxa"/>
            <w:tcBorders>
              <w:top w:val="nil"/>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Banobras, S.N.C.</w:t>
            </w:r>
            <w:r w:rsidRPr="004B3AC1">
              <w:rPr>
                <w:rFonts w:ascii="Arial" w:eastAsia="Times New Roman" w:hAnsi="Arial" w:cs="Arial"/>
                <w:b/>
                <w:bCs/>
                <w:color w:val="FFFFFF"/>
                <w:sz w:val="20"/>
                <w:szCs w:val="20"/>
                <w:lang w:eastAsia="es-MX"/>
              </w:rPr>
              <w:br/>
              <w:t>(Crédito No. 13198)</w:t>
            </w:r>
          </w:p>
        </w:tc>
        <w:tc>
          <w:tcPr>
            <w:tcW w:w="1960" w:type="dxa"/>
            <w:tcBorders>
              <w:top w:val="nil"/>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Banamex, S.A.</w:t>
            </w:r>
          </w:p>
        </w:tc>
        <w:tc>
          <w:tcPr>
            <w:tcW w:w="1960" w:type="dxa"/>
            <w:tcBorders>
              <w:top w:val="single" w:sz="4" w:space="0" w:color="BFBFBF"/>
              <w:left w:val="nil"/>
              <w:bottom w:val="nil"/>
              <w:right w:val="single" w:sz="4" w:space="0" w:color="BFBFBF"/>
            </w:tcBorders>
            <w:shd w:val="clear" w:color="000000" w:fill="002060"/>
            <w:vAlign w:val="center"/>
            <w:hideMark/>
          </w:tcPr>
          <w:p w:rsidR="00B0154C" w:rsidRPr="004B3AC1" w:rsidRDefault="00B0154C" w:rsidP="00B0154C">
            <w:pPr>
              <w:spacing w:after="0" w:line="240" w:lineRule="auto"/>
              <w:jc w:val="center"/>
              <w:rPr>
                <w:rFonts w:ascii="Arial" w:eastAsia="Times New Roman" w:hAnsi="Arial" w:cs="Arial"/>
                <w:b/>
                <w:bCs/>
                <w:color w:val="FFFFFF"/>
                <w:sz w:val="20"/>
                <w:szCs w:val="20"/>
                <w:lang w:eastAsia="es-MX"/>
              </w:rPr>
            </w:pPr>
            <w:r w:rsidRPr="004B3AC1">
              <w:rPr>
                <w:rFonts w:ascii="Arial" w:eastAsia="Times New Roman" w:hAnsi="Arial" w:cs="Arial"/>
                <w:b/>
                <w:bCs/>
                <w:color w:val="FFFFFF"/>
                <w:sz w:val="20"/>
                <w:szCs w:val="20"/>
                <w:lang w:eastAsia="es-MX"/>
              </w:rPr>
              <w:t>Banobras, S.N.C.</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2021</w:t>
            </w:r>
          </w:p>
        </w:tc>
        <w:tc>
          <w:tcPr>
            <w:tcW w:w="1960" w:type="dxa"/>
            <w:tcBorders>
              <w:top w:val="single" w:sz="4" w:space="0" w:color="BFBFBF"/>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14,598,539 </w:t>
            </w:r>
          </w:p>
        </w:tc>
        <w:tc>
          <w:tcPr>
            <w:tcW w:w="1960" w:type="dxa"/>
            <w:tcBorders>
              <w:top w:val="single" w:sz="4" w:space="0" w:color="BFBFBF"/>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79,976,370 </w:t>
            </w:r>
          </w:p>
        </w:tc>
        <w:tc>
          <w:tcPr>
            <w:tcW w:w="1960" w:type="dxa"/>
            <w:tcBorders>
              <w:top w:val="single" w:sz="4" w:space="0" w:color="BFBFBF"/>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59,050,844 </w:t>
            </w:r>
          </w:p>
        </w:tc>
        <w:tc>
          <w:tcPr>
            <w:tcW w:w="1960" w:type="dxa"/>
            <w:tcBorders>
              <w:top w:val="single" w:sz="4" w:space="0" w:color="BFBFBF"/>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6,303,259 </w:t>
            </w:r>
          </w:p>
        </w:tc>
        <w:tc>
          <w:tcPr>
            <w:tcW w:w="1960" w:type="dxa"/>
            <w:tcBorders>
              <w:top w:val="single" w:sz="4" w:space="0" w:color="BFBFBF"/>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27,009,726 </w:t>
            </w:r>
          </w:p>
        </w:tc>
        <w:tc>
          <w:tcPr>
            <w:tcW w:w="1960" w:type="dxa"/>
            <w:tcBorders>
              <w:top w:val="single" w:sz="4" w:space="0" w:color="BFBFBF"/>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2022</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16,450,012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95,621,202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64,244,950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7,360,012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31,351,662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2023</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18,536,291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114,326,446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69,881,738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8,593,931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36,391,583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2024</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20,887,152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136,690,777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75,478,074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10,034,719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42,241,694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2025</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23,536,156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163,429,977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82,895,815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11,717,057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49,032,238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2026</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26,521,131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195,399,850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90,119,596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13,681,443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56,914,391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2027</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29,884,680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233,623,611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97,879,476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15,975,161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66,063,637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2028</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33,674,810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254,094,605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106,371,602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18,653,425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76,683,665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2029</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37,945,590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115,832,890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21,780,705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89,010,911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2030</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42,758,060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125,953,381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25,432,279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103,319,817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2031</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48,180,841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137,163,630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29,696,046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119,928,944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2032</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54,291,393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34,674,641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139,208,063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2033</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61,176,895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40,487,906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161,586,389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306,931,762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2034</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68,935,659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47,275,775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187,562,131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2035</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77,678,426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55,201,643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217,713,590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2036</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13,872,222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64,456,296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252,712,034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2037</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61,894,950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293,336,635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2038</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340,491,824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4B3AC1"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auto" w:fill="auto"/>
            <w:noWrap/>
            <w:vAlign w:val="bottom"/>
            <w:hideMark/>
          </w:tcPr>
          <w:p w:rsidR="00B0154C" w:rsidRPr="004B3AC1" w:rsidRDefault="00B0154C" w:rsidP="00B0154C">
            <w:pPr>
              <w:spacing w:after="0" w:line="240" w:lineRule="auto"/>
              <w:jc w:val="center"/>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2039</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325,198,071 </w:t>
            </w:r>
          </w:p>
        </w:tc>
        <w:tc>
          <w:tcPr>
            <w:tcW w:w="1960" w:type="dxa"/>
            <w:tcBorders>
              <w:top w:val="nil"/>
              <w:left w:val="nil"/>
              <w:bottom w:val="single" w:sz="4" w:space="0" w:color="BFBFBF"/>
              <w:right w:val="single" w:sz="4" w:space="0" w:color="BFBFBF"/>
            </w:tcBorders>
            <w:shd w:val="clear" w:color="auto" w:fill="auto"/>
            <w:vAlign w:val="bottom"/>
            <w:hideMark/>
          </w:tcPr>
          <w:p w:rsidR="00B0154C" w:rsidRPr="004B3AC1" w:rsidRDefault="00B0154C" w:rsidP="00B0154C">
            <w:pPr>
              <w:spacing w:after="0" w:line="240" w:lineRule="auto"/>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 xml:space="preserve">                                     -   </w:t>
            </w:r>
          </w:p>
        </w:tc>
      </w:tr>
      <w:tr w:rsidR="00B0154C" w:rsidRPr="00B0154C" w:rsidTr="00D12929">
        <w:trPr>
          <w:trHeight w:val="397"/>
          <w:jc w:val="center"/>
        </w:trPr>
        <w:tc>
          <w:tcPr>
            <w:tcW w:w="1740" w:type="dxa"/>
            <w:tcBorders>
              <w:top w:val="nil"/>
              <w:left w:val="single" w:sz="4" w:space="0" w:color="BFBFBF"/>
              <w:bottom w:val="single" w:sz="4" w:space="0" w:color="BFBFBF"/>
              <w:right w:val="single" w:sz="4" w:space="0" w:color="BFBFBF"/>
            </w:tcBorders>
            <w:shd w:val="clear" w:color="000000" w:fill="BFBFBF"/>
            <w:noWrap/>
            <w:vAlign w:val="bottom"/>
            <w:hideMark/>
          </w:tcPr>
          <w:p w:rsidR="00B0154C" w:rsidRPr="004B3AC1" w:rsidRDefault="00B0154C" w:rsidP="00B0154C">
            <w:pPr>
              <w:spacing w:after="0" w:line="240" w:lineRule="auto"/>
              <w:jc w:val="center"/>
              <w:rPr>
                <w:rFonts w:ascii="Arial" w:eastAsia="Times New Roman" w:hAnsi="Arial" w:cs="Arial"/>
                <w:b/>
                <w:bCs/>
                <w:color w:val="000000"/>
                <w:sz w:val="20"/>
                <w:szCs w:val="20"/>
                <w:lang w:eastAsia="es-MX"/>
              </w:rPr>
            </w:pPr>
            <w:r w:rsidRPr="004B3AC1">
              <w:rPr>
                <w:rFonts w:ascii="Arial" w:eastAsia="Times New Roman" w:hAnsi="Arial" w:cs="Arial"/>
                <w:b/>
                <w:bCs/>
                <w:color w:val="000000"/>
                <w:sz w:val="20"/>
                <w:szCs w:val="20"/>
                <w:lang w:eastAsia="es-MX"/>
              </w:rPr>
              <w:t>Total</w:t>
            </w:r>
          </w:p>
        </w:tc>
        <w:tc>
          <w:tcPr>
            <w:tcW w:w="1960" w:type="dxa"/>
            <w:tcBorders>
              <w:top w:val="nil"/>
              <w:left w:val="nil"/>
              <w:bottom w:val="single" w:sz="4" w:space="0" w:color="BFBFBF"/>
              <w:right w:val="single" w:sz="4" w:space="0" w:color="BFBFBF"/>
            </w:tcBorders>
            <w:shd w:val="clear" w:color="000000" w:fill="BFBFBF"/>
            <w:noWrap/>
            <w:vAlign w:val="bottom"/>
            <w:hideMark/>
          </w:tcPr>
          <w:p w:rsidR="00B0154C" w:rsidRPr="004B3AC1" w:rsidRDefault="00B0154C" w:rsidP="00B0154C">
            <w:pPr>
              <w:spacing w:after="0" w:line="240" w:lineRule="auto"/>
              <w:jc w:val="right"/>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$588,927,852.50</w:t>
            </w:r>
          </w:p>
        </w:tc>
        <w:tc>
          <w:tcPr>
            <w:tcW w:w="1960" w:type="dxa"/>
            <w:tcBorders>
              <w:top w:val="nil"/>
              <w:left w:val="nil"/>
              <w:bottom w:val="single" w:sz="4" w:space="0" w:color="BFBFBF"/>
              <w:right w:val="single" w:sz="4" w:space="0" w:color="BFBFBF"/>
            </w:tcBorders>
            <w:shd w:val="clear" w:color="000000" w:fill="BFBFBF"/>
            <w:noWrap/>
            <w:vAlign w:val="bottom"/>
            <w:hideMark/>
          </w:tcPr>
          <w:p w:rsidR="00B0154C" w:rsidRPr="004B3AC1" w:rsidRDefault="00B0154C" w:rsidP="00B0154C">
            <w:pPr>
              <w:spacing w:after="0" w:line="240" w:lineRule="auto"/>
              <w:jc w:val="right"/>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$1,273,162,837.75</w:t>
            </w:r>
          </w:p>
        </w:tc>
        <w:tc>
          <w:tcPr>
            <w:tcW w:w="1960" w:type="dxa"/>
            <w:tcBorders>
              <w:top w:val="nil"/>
              <w:left w:val="nil"/>
              <w:bottom w:val="single" w:sz="4" w:space="0" w:color="BFBFBF"/>
              <w:right w:val="single" w:sz="4" w:space="0" w:color="BFBFBF"/>
            </w:tcBorders>
            <w:shd w:val="clear" w:color="000000" w:fill="BFBFBF"/>
            <w:noWrap/>
            <w:vAlign w:val="bottom"/>
            <w:hideMark/>
          </w:tcPr>
          <w:p w:rsidR="00B0154C" w:rsidRPr="004B3AC1" w:rsidRDefault="00B0154C" w:rsidP="00B0154C">
            <w:pPr>
              <w:spacing w:after="0" w:line="240" w:lineRule="auto"/>
              <w:jc w:val="right"/>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$1,024,871,996.93</w:t>
            </w:r>
          </w:p>
        </w:tc>
        <w:tc>
          <w:tcPr>
            <w:tcW w:w="1960" w:type="dxa"/>
            <w:tcBorders>
              <w:top w:val="nil"/>
              <w:left w:val="nil"/>
              <w:bottom w:val="single" w:sz="4" w:space="0" w:color="BFBFBF"/>
              <w:right w:val="single" w:sz="4" w:space="0" w:color="BFBFBF"/>
            </w:tcBorders>
            <w:shd w:val="clear" w:color="000000" w:fill="BFBFBF"/>
            <w:noWrap/>
            <w:vAlign w:val="bottom"/>
            <w:hideMark/>
          </w:tcPr>
          <w:p w:rsidR="00B0154C" w:rsidRPr="004B3AC1" w:rsidRDefault="00B0154C" w:rsidP="00B0154C">
            <w:pPr>
              <w:spacing w:after="0" w:line="240" w:lineRule="auto"/>
              <w:jc w:val="right"/>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$473,219,247.54</w:t>
            </w:r>
          </w:p>
        </w:tc>
        <w:tc>
          <w:tcPr>
            <w:tcW w:w="1960" w:type="dxa"/>
            <w:tcBorders>
              <w:top w:val="nil"/>
              <w:left w:val="nil"/>
              <w:bottom w:val="single" w:sz="4" w:space="0" w:color="BFBFBF"/>
              <w:right w:val="single" w:sz="4" w:space="0" w:color="BFBFBF"/>
            </w:tcBorders>
            <w:shd w:val="clear" w:color="000000" w:fill="BFBFBF"/>
            <w:noWrap/>
            <w:vAlign w:val="bottom"/>
            <w:hideMark/>
          </w:tcPr>
          <w:p w:rsidR="00B0154C" w:rsidRPr="004B3AC1" w:rsidRDefault="00B0154C" w:rsidP="00B0154C">
            <w:pPr>
              <w:spacing w:after="0" w:line="240" w:lineRule="auto"/>
              <w:jc w:val="right"/>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$2,615,757,004.77</w:t>
            </w:r>
          </w:p>
        </w:tc>
        <w:tc>
          <w:tcPr>
            <w:tcW w:w="1960" w:type="dxa"/>
            <w:tcBorders>
              <w:top w:val="nil"/>
              <w:left w:val="nil"/>
              <w:bottom w:val="single" w:sz="4" w:space="0" w:color="BFBFBF"/>
              <w:right w:val="single" w:sz="4" w:space="0" w:color="BFBFBF"/>
            </w:tcBorders>
            <w:shd w:val="clear" w:color="000000" w:fill="BFBFBF"/>
            <w:noWrap/>
            <w:vAlign w:val="bottom"/>
            <w:hideMark/>
          </w:tcPr>
          <w:p w:rsidR="00B0154C" w:rsidRPr="00B0154C" w:rsidRDefault="00B0154C" w:rsidP="00B0154C">
            <w:pPr>
              <w:spacing w:after="0" w:line="240" w:lineRule="auto"/>
              <w:jc w:val="right"/>
              <w:rPr>
                <w:rFonts w:ascii="Arial" w:eastAsia="Times New Roman" w:hAnsi="Arial" w:cs="Arial"/>
                <w:color w:val="000000"/>
                <w:sz w:val="20"/>
                <w:szCs w:val="20"/>
                <w:lang w:eastAsia="es-MX"/>
              </w:rPr>
            </w:pPr>
            <w:r w:rsidRPr="004B3AC1">
              <w:rPr>
                <w:rFonts w:ascii="Arial" w:eastAsia="Times New Roman" w:hAnsi="Arial" w:cs="Arial"/>
                <w:color w:val="000000"/>
                <w:sz w:val="20"/>
                <w:szCs w:val="20"/>
                <w:lang w:eastAsia="es-MX"/>
              </w:rPr>
              <w:t>$306,931,762.00</w:t>
            </w:r>
          </w:p>
        </w:tc>
      </w:tr>
    </w:tbl>
    <w:p w:rsidR="001446D9" w:rsidRPr="00464088" w:rsidRDefault="001446D9" w:rsidP="001446D9">
      <w:pPr>
        <w:tabs>
          <w:tab w:val="left" w:pos="4856"/>
        </w:tabs>
        <w:spacing w:before="100" w:beforeAutospacing="1" w:after="100" w:afterAutospacing="1" w:line="240" w:lineRule="auto"/>
        <w:jc w:val="both"/>
        <w:rPr>
          <w:rFonts w:ascii="Arial" w:hAnsi="Arial" w:cs="Arial"/>
          <w:sz w:val="24"/>
          <w:szCs w:val="24"/>
        </w:rPr>
      </w:pPr>
    </w:p>
    <w:p w:rsidR="001446D9" w:rsidRPr="00464088" w:rsidRDefault="001446D9" w:rsidP="001446D9">
      <w:pPr>
        <w:rPr>
          <w:rFonts w:ascii="Arial" w:hAnsi="Arial" w:cs="Arial"/>
          <w:sz w:val="24"/>
          <w:szCs w:val="24"/>
        </w:rPr>
      </w:pPr>
    </w:p>
    <w:p w:rsidR="00402B7D" w:rsidRPr="00937932" w:rsidRDefault="00402B7D" w:rsidP="00034757">
      <w:pPr>
        <w:rPr>
          <w:rFonts w:ascii="Arial" w:hAnsi="Arial" w:cs="Arial"/>
          <w:sz w:val="24"/>
          <w:szCs w:val="24"/>
        </w:rPr>
      </w:pPr>
    </w:p>
    <w:sectPr w:rsidR="00402B7D" w:rsidRPr="00937932" w:rsidSect="00A11C87">
      <w:pgSz w:w="15840" w:h="12240" w:orient="landscape"/>
      <w:pgMar w:top="70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16" w:rsidRDefault="00DD2D16" w:rsidP="005B7A14">
      <w:pPr>
        <w:spacing w:after="0" w:line="240" w:lineRule="auto"/>
      </w:pPr>
      <w:r>
        <w:separator/>
      </w:r>
    </w:p>
  </w:endnote>
  <w:endnote w:type="continuationSeparator" w:id="0">
    <w:p w:rsidR="00DD2D16" w:rsidRDefault="00DD2D16" w:rsidP="005B7A14">
      <w:pPr>
        <w:spacing w:after="0" w:line="240" w:lineRule="auto"/>
      </w:pPr>
      <w:r>
        <w:continuationSeparator/>
      </w:r>
    </w:p>
  </w:endnote>
  <w:endnote w:type="continuationNotice" w:id="1">
    <w:p w:rsidR="00DD2D16" w:rsidRDefault="00DD2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ourier New"/>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527" w:rsidRPr="004E5954" w:rsidRDefault="007A796A" w:rsidP="004E5954">
    <w:pPr>
      <w:pStyle w:val="Piedepgina"/>
      <w:jc w:val="right"/>
      <w:rPr>
        <w:rFonts w:ascii="Arial" w:hAnsi="Arial" w:cs="Arial"/>
        <w:sz w:val="20"/>
        <w:szCs w:val="20"/>
      </w:rPr>
    </w:pPr>
    <w:r w:rsidRPr="004E5954">
      <w:rPr>
        <w:rFonts w:ascii="Arial" w:hAnsi="Arial" w:cs="Arial"/>
        <w:sz w:val="20"/>
        <w:szCs w:val="20"/>
      </w:rPr>
      <w:fldChar w:fldCharType="begin"/>
    </w:r>
    <w:r w:rsidR="00881527" w:rsidRPr="004E5954">
      <w:rPr>
        <w:rFonts w:ascii="Arial" w:hAnsi="Arial" w:cs="Arial"/>
        <w:sz w:val="20"/>
        <w:szCs w:val="20"/>
      </w:rPr>
      <w:instrText xml:space="preserve"> PAGE   \* MERGEFORMAT </w:instrText>
    </w:r>
    <w:r w:rsidRPr="004E5954">
      <w:rPr>
        <w:rFonts w:ascii="Arial" w:hAnsi="Arial" w:cs="Arial"/>
        <w:sz w:val="20"/>
        <w:szCs w:val="20"/>
      </w:rPr>
      <w:fldChar w:fldCharType="separate"/>
    </w:r>
    <w:r w:rsidR="00F5688A">
      <w:rPr>
        <w:rFonts w:ascii="Arial" w:hAnsi="Arial" w:cs="Arial"/>
        <w:noProof/>
        <w:sz w:val="20"/>
        <w:szCs w:val="20"/>
      </w:rPr>
      <w:t>1</w:t>
    </w:r>
    <w:r w:rsidRPr="004E5954">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16" w:rsidRDefault="00DD2D16" w:rsidP="005B7A14">
      <w:pPr>
        <w:spacing w:after="0" w:line="240" w:lineRule="auto"/>
      </w:pPr>
      <w:r>
        <w:separator/>
      </w:r>
    </w:p>
  </w:footnote>
  <w:footnote w:type="continuationSeparator" w:id="0">
    <w:p w:rsidR="00DD2D16" w:rsidRDefault="00DD2D16" w:rsidP="005B7A14">
      <w:pPr>
        <w:spacing w:after="0" w:line="240" w:lineRule="auto"/>
      </w:pPr>
      <w:r>
        <w:continuationSeparator/>
      </w:r>
    </w:p>
  </w:footnote>
  <w:footnote w:type="continuationNotice" w:id="1">
    <w:p w:rsidR="00DD2D16" w:rsidRDefault="00DD2D1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30"/>
    <w:rsid w:val="00011180"/>
    <w:rsid w:val="0001371B"/>
    <w:rsid w:val="000157CE"/>
    <w:rsid w:val="0001621A"/>
    <w:rsid w:val="00017A5B"/>
    <w:rsid w:val="00034757"/>
    <w:rsid w:val="0004168E"/>
    <w:rsid w:val="00043787"/>
    <w:rsid w:val="000469FD"/>
    <w:rsid w:val="00046A51"/>
    <w:rsid w:val="00046D9B"/>
    <w:rsid w:val="00051C4C"/>
    <w:rsid w:val="00055050"/>
    <w:rsid w:val="00055D6E"/>
    <w:rsid w:val="000671FE"/>
    <w:rsid w:val="00084105"/>
    <w:rsid w:val="000935EE"/>
    <w:rsid w:val="000B736B"/>
    <w:rsid w:val="000C1A7C"/>
    <w:rsid w:val="000C2EA6"/>
    <w:rsid w:val="000D38CE"/>
    <w:rsid w:val="000D4473"/>
    <w:rsid w:val="000D51F2"/>
    <w:rsid w:val="000F6980"/>
    <w:rsid w:val="000F6A82"/>
    <w:rsid w:val="00103921"/>
    <w:rsid w:val="001065EA"/>
    <w:rsid w:val="00110D83"/>
    <w:rsid w:val="0011146E"/>
    <w:rsid w:val="00125D5D"/>
    <w:rsid w:val="00130808"/>
    <w:rsid w:val="001446D9"/>
    <w:rsid w:val="001606F9"/>
    <w:rsid w:val="00166BDC"/>
    <w:rsid w:val="00180B85"/>
    <w:rsid w:val="00184784"/>
    <w:rsid w:val="00192C47"/>
    <w:rsid w:val="001959E7"/>
    <w:rsid w:val="00196251"/>
    <w:rsid w:val="001A322F"/>
    <w:rsid w:val="001B0839"/>
    <w:rsid w:val="001B6CD2"/>
    <w:rsid w:val="001C0E77"/>
    <w:rsid w:val="001D260C"/>
    <w:rsid w:val="001D741B"/>
    <w:rsid w:val="001E2539"/>
    <w:rsid w:val="001F5ABA"/>
    <w:rsid w:val="00232EF0"/>
    <w:rsid w:val="00244C81"/>
    <w:rsid w:val="002731D5"/>
    <w:rsid w:val="00282B00"/>
    <w:rsid w:val="002847C3"/>
    <w:rsid w:val="00291046"/>
    <w:rsid w:val="002A4E55"/>
    <w:rsid w:val="002C24FE"/>
    <w:rsid w:val="002C3062"/>
    <w:rsid w:val="002D30C5"/>
    <w:rsid w:val="002E1013"/>
    <w:rsid w:val="002E3E8E"/>
    <w:rsid w:val="00305062"/>
    <w:rsid w:val="0031474C"/>
    <w:rsid w:val="00314FDA"/>
    <w:rsid w:val="003156C9"/>
    <w:rsid w:val="00323FA6"/>
    <w:rsid w:val="0035156F"/>
    <w:rsid w:val="0039347E"/>
    <w:rsid w:val="003962BD"/>
    <w:rsid w:val="003A4146"/>
    <w:rsid w:val="003A4520"/>
    <w:rsid w:val="003A661A"/>
    <w:rsid w:val="003B079C"/>
    <w:rsid w:val="003B3569"/>
    <w:rsid w:val="003B45C4"/>
    <w:rsid w:val="003C2A3D"/>
    <w:rsid w:val="003C3DA4"/>
    <w:rsid w:val="003D0239"/>
    <w:rsid w:val="003D1EEC"/>
    <w:rsid w:val="003D415F"/>
    <w:rsid w:val="003F204B"/>
    <w:rsid w:val="00402B7D"/>
    <w:rsid w:val="00413326"/>
    <w:rsid w:val="00414460"/>
    <w:rsid w:val="004235C0"/>
    <w:rsid w:val="00443AA9"/>
    <w:rsid w:val="00447325"/>
    <w:rsid w:val="0045551A"/>
    <w:rsid w:val="00464088"/>
    <w:rsid w:val="00465860"/>
    <w:rsid w:val="0047695F"/>
    <w:rsid w:val="004B392D"/>
    <w:rsid w:val="004B3AC1"/>
    <w:rsid w:val="004B673A"/>
    <w:rsid w:val="004C0A84"/>
    <w:rsid w:val="004C2CFC"/>
    <w:rsid w:val="004C4D6C"/>
    <w:rsid w:val="004C7C72"/>
    <w:rsid w:val="004E07BE"/>
    <w:rsid w:val="004E5954"/>
    <w:rsid w:val="004F0944"/>
    <w:rsid w:val="004F3C68"/>
    <w:rsid w:val="004F77BB"/>
    <w:rsid w:val="00510B39"/>
    <w:rsid w:val="00512A86"/>
    <w:rsid w:val="00520283"/>
    <w:rsid w:val="00550695"/>
    <w:rsid w:val="0055544A"/>
    <w:rsid w:val="00561B18"/>
    <w:rsid w:val="00565646"/>
    <w:rsid w:val="005801E8"/>
    <w:rsid w:val="005937BE"/>
    <w:rsid w:val="0059609F"/>
    <w:rsid w:val="005973EF"/>
    <w:rsid w:val="005A2138"/>
    <w:rsid w:val="005A2A76"/>
    <w:rsid w:val="005A6015"/>
    <w:rsid w:val="005B5E79"/>
    <w:rsid w:val="005B7A14"/>
    <w:rsid w:val="005C3045"/>
    <w:rsid w:val="005E6EB3"/>
    <w:rsid w:val="005F15F4"/>
    <w:rsid w:val="005F4AA0"/>
    <w:rsid w:val="00600C1D"/>
    <w:rsid w:val="00604DAB"/>
    <w:rsid w:val="00615CCF"/>
    <w:rsid w:val="00627EBC"/>
    <w:rsid w:val="006601A5"/>
    <w:rsid w:val="00674895"/>
    <w:rsid w:val="0067632B"/>
    <w:rsid w:val="0067648A"/>
    <w:rsid w:val="00685D96"/>
    <w:rsid w:val="00697BE9"/>
    <w:rsid w:val="006B5E81"/>
    <w:rsid w:val="006C04CA"/>
    <w:rsid w:val="006C08FE"/>
    <w:rsid w:val="006C19DB"/>
    <w:rsid w:val="006E09F2"/>
    <w:rsid w:val="006E3C9A"/>
    <w:rsid w:val="006F60AB"/>
    <w:rsid w:val="00713325"/>
    <w:rsid w:val="00713502"/>
    <w:rsid w:val="007159C1"/>
    <w:rsid w:val="00716295"/>
    <w:rsid w:val="007415BB"/>
    <w:rsid w:val="00753EE3"/>
    <w:rsid w:val="007548DE"/>
    <w:rsid w:val="00761D30"/>
    <w:rsid w:val="007648D5"/>
    <w:rsid w:val="00767B0B"/>
    <w:rsid w:val="00787595"/>
    <w:rsid w:val="007979DA"/>
    <w:rsid w:val="007A796A"/>
    <w:rsid w:val="007B2028"/>
    <w:rsid w:val="007C1B20"/>
    <w:rsid w:val="007C37E0"/>
    <w:rsid w:val="007D0302"/>
    <w:rsid w:val="007E0DA3"/>
    <w:rsid w:val="007F5223"/>
    <w:rsid w:val="00801A08"/>
    <w:rsid w:val="0081347D"/>
    <w:rsid w:val="0083549B"/>
    <w:rsid w:val="00840B27"/>
    <w:rsid w:val="00843EC9"/>
    <w:rsid w:val="00845D83"/>
    <w:rsid w:val="00852F57"/>
    <w:rsid w:val="00854082"/>
    <w:rsid w:val="0085445D"/>
    <w:rsid w:val="00855329"/>
    <w:rsid w:val="00857138"/>
    <w:rsid w:val="00874296"/>
    <w:rsid w:val="00881527"/>
    <w:rsid w:val="0088687D"/>
    <w:rsid w:val="008A5C11"/>
    <w:rsid w:val="008B0E93"/>
    <w:rsid w:val="008B32E3"/>
    <w:rsid w:val="008B42A3"/>
    <w:rsid w:val="008E0189"/>
    <w:rsid w:val="009215B7"/>
    <w:rsid w:val="00936BA7"/>
    <w:rsid w:val="00937932"/>
    <w:rsid w:val="009402FC"/>
    <w:rsid w:val="00941899"/>
    <w:rsid w:val="0094504A"/>
    <w:rsid w:val="00945A0F"/>
    <w:rsid w:val="00953664"/>
    <w:rsid w:val="009537A0"/>
    <w:rsid w:val="00962152"/>
    <w:rsid w:val="00971AB2"/>
    <w:rsid w:val="00984E6E"/>
    <w:rsid w:val="00987D40"/>
    <w:rsid w:val="009914CF"/>
    <w:rsid w:val="009A0671"/>
    <w:rsid w:val="009A6E74"/>
    <w:rsid w:val="009B1A8D"/>
    <w:rsid w:val="009B367B"/>
    <w:rsid w:val="009B6388"/>
    <w:rsid w:val="009C5DB1"/>
    <w:rsid w:val="009D1F6B"/>
    <w:rsid w:val="009D615A"/>
    <w:rsid w:val="009E24F5"/>
    <w:rsid w:val="00A11C87"/>
    <w:rsid w:val="00A15908"/>
    <w:rsid w:val="00A16994"/>
    <w:rsid w:val="00A36A4C"/>
    <w:rsid w:val="00A54945"/>
    <w:rsid w:val="00A643F1"/>
    <w:rsid w:val="00A65C73"/>
    <w:rsid w:val="00A71016"/>
    <w:rsid w:val="00A71AD9"/>
    <w:rsid w:val="00A77CB8"/>
    <w:rsid w:val="00A80153"/>
    <w:rsid w:val="00A9746D"/>
    <w:rsid w:val="00AA11A1"/>
    <w:rsid w:val="00AA4A72"/>
    <w:rsid w:val="00AB46D1"/>
    <w:rsid w:val="00AB6FD9"/>
    <w:rsid w:val="00AC428E"/>
    <w:rsid w:val="00AC60BA"/>
    <w:rsid w:val="00AD2AFC"/>
    <w:rsid w:val="00AF5B30"/>
    <w:rsid w:val="00B0154C"/>
    <w:rsid w:val="00B17703"/>
    <w:rsid w:val="00B25248"/>
    <w:rsid w:val="00B31571"/>
    <w:rsid w:val="00B55E18"/>
    <w:rsid w:val="00B61187"/>
    <w:rsid w:val="00B777E6"/>
    <w:rsid w:val="00B804A4"/>
    <w:rsid w:val="00B815D6"/>
    <w:rsid w:val="00B9579C"/>
    <w:rsid w:val="00B96926"/>
    <w:rsid w:val="00BA37C0"/>
    <w:rsid w:val="00BA6291"/>
    <w:rsid w:val="00BB1FF5"/>
    <w:rsid w:val="00BB298D"/>
    <w:rsid w:val="00BC77B6"/>
    <w:rsid w:val="00BE0FF4"/>
    <w:rsid w:val="00BE419C"/>
    <w:rsid w:val="00BE69BB"/>
    <w:rsid w:val="00BF41E7"/>
    <w:rsid w:val="00C02FDE"/>
    <w:rsid w:val="00C043B1"/>
    <w:rsid w:val="00C10F7B"/>
    <w:rsid w:val="00C23770"/>
    <w:rsid w:val="00C333D1"/>
    <w:rsid w:val="00C35955"/>
    <w:rsid w:val="00C35999"/>
    <w:rsid w:val="00C4649E"/>
    <w:rsid w:val="00C47A2D"/>
    <w:rsid w:val="00C51603"/>
    <w:rsid w:val="00C5751F"/>
    <w:rsid w:val="00C6091E"/>
    <w:rsid w:val="00C63F27"/>
    <w:rsid w:val="00C66CA6"/>
    <w:rsid w:val="00C77717"/>
    <w:rsid w:val="00C82E19"/>
    <w:rsid w:val="00C87C8F"/>
    <w:rsid w:val="00CA1EA5"/>
    <w:rsid w:val="00CB3E3D"/>
    <w:rsid w:val="00CB4816"/>
    <w:rsid w:val="00CC40EE"/>
    <w:rsid w:val="00CD5EB3"/>
    <w:rsid w:val="00CF5B99"/>
    <w:rsid w:val="00CF7862"/>
    <w:rsid w:val="00D02E9C"/>
    <w:rsid w:val="00D12929"/>
    <w:rsid w:val="00D32BB7"/>
    <w:rsid w:val="00D45C23"/>
    <w:rsid w:val="00D46028"/>
    <w:rsid w:val="00D46367"/>
    <w:rsid w:val="00D512BB"/>
    <w:rsid w:val="00D5462A"/>
    <w:rsid w:val="00D556C9"/>
    <w:rsid w:val="00D60421"/>
    <w:rsid w:val="00D67040"/>
    <w:rsid w:val="00D75D3D"/>
    <w:rsid w:val="00D8306C"/>
    <w:rsid w:val="00D94E42"/>
    <w:rsid w:val="00D95378"/>
    <w:rsid w:val="00D96EB1"/>
    <w:rsid w:val="00DB727E"/>
    <w:rsid w:val="00DD2D16"/>
    <w:rsid w:val="00DD2D17"/>
    <w:rsid w:val="00DD5390"/>
    <w:rsid w:val="00DD64F7"/>
    <w:rsid w:val="00DE6F11"/>
    <w:rsid w:val="00E0056E"/>
    <w:rsid w:val="00E00E42"/>
    <w:rsid w:val="00E17D1F"/>
    <w:rsid w:val="00E21067"/>
    <w:rsid w:val="00E322E0"/>
    <w:rsid w:val="00E34E93"/>
    <w:rsid w:val="00E3618E"/>
    <w:rsid w:val="00E759B0"/>
    <w:rsid w:val="00EA182D"/>
    <w:rsid w:val="00EA6EC1"/>
    <w:rsid w:val="00EB080D"/>
    <w:rsid w:val="00EB25EB"/>
    <w:rsid w:val="00EB3B84"/>
    <w:rsid w:val="00EB3F34"/>
    <w:rsid w:val="00EE099B"/>
    <w:rsid w:val="00EE6664"/>
    <w:rsid w:val="00EE7A86"/>
    <w:rsid w:val="00EF121A"/>
    <w:rsid w:val="00EF3102"/>
    <w:rsid w:val="00EF3B68"/>
    <w:rsid w:val="00EF57F7"/>
    <w:rsid w:val="00EF7322"/>
    <w:rsid w:val="00F00478"/>
    <w:rsid w:val="00F1069A"/>
    <w:rsid w:val="00F30C8E"/>
    <w:rsid w:val="00F3150D"/>
    <w:rsid w:val="00F34C7C"/>
    <w:rsid w:val="00F42949"/>
    <w:rsid w:val="00F4567A"/>
    <w:rsid w:val="00F45AF2"/>
    <w:rsid w:val="00F47996"/>
    <w:rsid w:val="00F5688A"/>
    <w:rsid w:val="00F66364"/>
    <w:rsid w:val="00FA2B88"/>
    <w:rsid w:val="00FD57DB"/>
    <w:rsid w:val="00FF5C1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59D19EA-5E09-4BE7-830E-3150B9E4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rlow" w:eastAsia="Calibri" w:hAnsi="Barlow"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6D9"/>
    <w:pPr>
      <w:spacing w:after="160" w:line="259" w:lineRule="auto"/>
    </w:pPr>
    <w:rPr>
      <w:sz w:val="22"/>
      <w:szCs w:val="22"/>
      <w:lang w:eastAsia="en-US"/>
    </w:rPr>
  </w:style>
  <w:style w:type="paragraph" w:styleId="Ttulo3">
    <w:name w:val="heading 3"/>
    <w:basedOn w:val="Normal"/>
    <w:link w:val="Ttulo3Car"/>
    <w:uiPriority w:val="9"/>
    <w:qFormat/>
    <w:rsid w:val="00BE0FF4"/>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BE0FF4"/>
    <w:rPr>
      <w:rFonts w:ascii="Times New Roman" w:eastAsia="Times New Roman" w:hAnsi="Times New Roman" w:cs="Times New Roman"/>
      <w:b/>
      <w:bCs/>
      <w:sz w:val="27"/>
      <w:szCs w:val="27"/>
      <w:lang w:eastAsia="es-MX"/>
    </w:rPr>
  </w:style>
  <w:style w:type="paragraph" w:styleId="Textonotapie">
    <w:name w:val="footnote text"/>
    <w:basedOn w:val="Normal"/>
    <w:link w:val="TextonotapieCar"/>
    <w:uiPriority w:val="99"/>
    <w:unhideWhenUsed/>
    <w:rsid w:val="005B7A14"/>
    <w:pPr>
      <w:spacing w:after="0" w:line="240" w:lineRule="auto"/>
    </w:pPr>
    <w:rPr>
      <w:rFonts w:ascii="Calibri" w:hAnsi="Calibri"/>
      <w:sz w:val="20"/>
      <w:szCs w:val="20"/>
    </w:rPr>
  </w:style>
  <w:style w:type="character" w:customStyle="1" w:styleId="TextonotapieCar">
    <w:name w:val="Texto nota pie Car"/>
    <w:link w:val="Textonotapie"/>
    <w:uiPriority w:val="99"/>
    <w:rsid w:val="005B7A14"/>
    <w:rPr>
      <w:rFonts w:ascii="Calibri" w:hAnsi="Calibri"/>
      <w:sz w:val="20"/>
      <w:szCs w:val="20"/>
    </w:rPr>
  </w:style>
  <w:style w:type="character" w:styleId="Refdenotaalpie">
    <w:name w:val="footnote reference"/>
    <w:uiPriority w:val="99"/>
    <w:semiHidden/>
    <w:unhideWhenUsed/>
    <w:rsid w:val="005B7A14"/>
    <w:rPr>
      <w:vertAlign w:val="superscript"/>
    </w:rPr>
  </w:style>
  <w:style w:type="paragraph" w:styleId="Prrafodelista">
    <w:name w:val="List Paragraph"/>
    <w:basedOn w:val="Normal"/>
    <w:uiPriority w:val="34"/>
    <w:qFormat/>
    <w:rsid w:val="00984E6E"/>
    <w:pPr>
      <w:spacing w:after="200" w:line="276" w:lineRule="auto"/>
      <w:ind w:left="720"/>
      <w:contextualSpacing/>
    </w:pPr>
    <w:rPr>
      <w:rFonts w:ascii="Calibri" w:hAnsi="Calibri"/>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984E6E"/>
    <w:pPr>
      <w:spacing w:beforeLines="1" w:afterLines="1" w:line="240" w:lineRule="auto"/>
    </w:pPr>
    <w:rPr>
      <w:rFonts w:ascii="Times" w:eastAsia="Times New Roman" w:hAnsi="Times"/>
      <w:sz w:val="20"/>
      <w:szCs w:val="20"/>
      <w:lang w:val="es-ES_tradnl" w:eastAsia="es-ES_tradnl"/>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984E6E"/>
    <w:rPr>
      <w:rFonts w:ascii="Times" w:eastAsia="Times New Roman" w:hAnsi="Times" w:cs="Times"/>
      <w:sz w:val="20"/>
      <w:szCs w:val="20"/>
      <w:lang w:val="es-ES_tradnl" w:eastAsia="es-ES_tradnl"/>
    </w:rPr>
  </w:style>
  <w:style w:type="paragraph" w:styleId="Textodeglobo">
    <w:name w:val="Balloon Text"/>
    <w:basedOn w:val="Normal"/>
    <w:link w:val="TextodegloboCar"/>
    <w:uiPriority w:val="99"/>
    <w:semiHidden/>
    <w:unhideWhenUsed/>
    <w:rsid w:val="0067648A"/>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67648A"/>
    <w:rPr>
      <w:rFonts w:ascii="Segoe UI" w:hAnsi="Segoe UI" w:cs="Segoe UI"/>
      <w:sz w:val="18"/>
      <w:szCs w:val="18"/>
    </w:rPr>
  </w:style>
  <w:style w:type="table" w:styleId="Tablaconcuadrcula">
    <w:name w:val="Table Grid"/>
    <w:basedOn w:val="Tablanormal"/>
    <w:uiPriority w:val="39"/>
    <w:rsid w:val="00D6042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51603"/>
    <w:rPr>
      <w:sz w:val="16"/>
      <w:szCs w:val="16"/>
    </w:rPr>
  </w:style>
  <w:style w:type="paragraph" w:styleId="Textocomentario">
    <w:name w:val="annotation text"/>
    <w:basedOn w:val="Normal"/>
    <w:link w:val="TextocomentarioCar"/>
    <w:uiPriority w:val="99"/>
    <w:semiHidden/>
    <w:unhideWhenUsed/>
    <w:rsid w:val="00C51603"/>
    <w:pPr>
      <w:spacing w:line="240" w:lineRule="auto"/>
    </w:pPr>
    <w:rPr>
      <w:sz w:val="20"/>
      <w:szCs w:val="20"/>
    </w:rPr>
  </w:style>
  <w:style w:type="character" w:customStyle="1" w:styleId="TextocomentarioCar">
    <w:name w:val="Texto comentario Car"/>
    <w:link w:val="Textocomentario"/>
    <w:uiPriority w:val="99"/>
    <w:semiHidden/>
    <w:rsid w:val="00C51603"/>
    <w:rPr>
      <w:sz w:val="20"/>
      <w:szCs w:val="20"/>
    </w:rPr>
  </w:style>
  <w:style w:type="paragraph" w:styleId="Asuntodelcomentario">
    <w:name w:val="annotation subject"/>
    <w:basedOn w:val="Textocomentario"/>
    <w:next w:val="Textocomentario"/>
    <w:link w:val="AsuntodelcomentarioCar"/>
    <w:uiPriority w:val="99"/>
    <w:semiHidden/>
    <w:unhideWhenUsed/>
    <w:rsid w:val="00C51603"/>
    <w:rPr>
      <w:b/>
      <w:bCs/>
    </w:rPr>
  </w:style>
  <w:style w:type="character" w:customStyle="1" w:styleId="AsuntodelcomentarioCar">
    <w:name w:val="Asunto del comentario Car"/>
    <w:link w:val="Asuntodelcomentario"/>
    <w:uiPriority w:val="99"/>
    <w:semiHidden/>
    <w:rsid w:val="00C51603"/>
    <w:rPr>
      <w:b/>
      <w:bCs/>
      <w:sz w:val="20"/>
      <w:szCs w:val="20"/>
    </w:rPr>
  </w:style>
  <w:style w:type="paragraph" w:customStyle="1" w:styleId="paragraph">
    <w:name w:val="paragraph"/>
    <w:basedOn w:val="Normal"/>
    <w:rsid w:val="007979D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7979DA"/>
  </w:style>
  <w:style w:type="character" w:customStyle="1" w:styleId="eop">
    <w:name w:val="eop"/>
    <w:basedOn w:val="Fuentedeprrafopredeter"/>
    <w:rsid w:val="007979DA"/>
  </w:style>
  <w:style w:type="character" w:customStyle="1" w:styleId="spellingerror">
    <w:name w:val="spellingerror"/>
    <w:basedOn w:val="Fuentedeprrafopredeter"/>
    <w:rsid w:val="007979DA"/>
  </w:style>
  <w:style w:type="character" w:customStyle="1" w:styleId="findhit">
    <w:name w:val="findhit"/>
    <w:basedOn w:val="Fuentedeprrafopredeter"/>
    <w:rsid w:val="007979DA"/>
  </w:style>
  <w:style w:type="character" w:styleId="Hipervnculo">
    <w:name w:val="Hyperlink"/>
    <w:uiPriority w:val="99"/>
    <w:semiHidden/>
    <w:unhideWhenUsed/>
    <w:rsid w:val="00EE7A86"/>
    <w:rPr>
      <w:color w:val="0563C1"/>
      <w:u w:val="single"/>
    </w:rPr>
  </w:style>
  <w:style w:type="character" w:styleId="Hipervnculovisitado">
    <w:name w:val="FollowedHyperlink"/>
    <w:uiPriority w:val="99"/>
    <w:semiHidden/>
    <w:unhideWhenUsed/>
    <w:rsid w:val="00EE7A86"/>
    <w:rPr>
      <w:color w:val="954F72"/>
      <w:u w:val="single"/>
    </w:rPr>
  </w:style>
  <w:style w:type="paragraph" w:customStyle="1" w:styleId="msonormal0">
    <w:name w:val="msonormal"/>
    <w:basedOn w:val="Normal"/>
    <w:rsid w:val="00EE7A86"/>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EE7A86"/>
    <w:pPr>
      <w:spacing w:before="100" w:beforeAutospacing="1" w:after="100" w:afterAutospacing="1" w:line="240" w:lineRule="auto"/>
    </w:pPr>
    <w:rPr>
      <w:rFonts w:eastAsia="Times New Roman"/>
      <w:sz w:val="24"/>
      <w:szCs w:val="24"/>
      <w:lang w:eastAsia="es-MX"/>
    </w:rPr>
  </w:style>
  <w:style w:type="paragraph" w:customStyle="1" w:styleId="xl66">
    <w:name w:val="xl66"/>
    <w:basedOn w:val="Normal"/>
    <w:rsid w:val="00EE7A86"/>
    <w:pPr>
      <w:pBdr>
        <w:top w:val="single" w:sz="4" w:space="0" w:color="BFBFBF"/>
        <w:left w:val="single" w:sz="4" w:space="0" w:color="BFBFBF"/>
        <w:right w:val="single" w:sz="4" w:space="0" w:color="BFBFBF"/>
      </w:pBdr>
      <w:shd w:val="clear" w:color="000000" w:fill="002060"/>
      <w:spacing w:before="100" w:beforeAutospacing="1" w:after="100" w:afterAutospacing="1" w:line="240" w:lineRule="auto"/>
      <w:jc w:val="center"/>
      <w:textAlignment w:val="center"/>
    </w:pPr>
    <w:rPr>
      <w:rFonts w:eastAsia="Times New Roman"/>
      <w:b/>
      <w:bCs/>
      <w:color w:val="FFFFFF"/>
      <w:sz w:val="24"/>
      <w:szCs w:val="24"/>
      <w:lang w:eastAsia="es-MX"/>
    </w:rPr>
  </w:style>
  <w:style w:type="paragraph" w:customStyle="1" w:styleId="xl67">
    <w:name w:val="xl67"/>
    <w:basedOn w:val="Normal"/>
    <w:rsid w:val="00EE7A8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eastAsia="Times New Roman"/>
      <w:sz w:val="24"/>
      <w:szCs w:val="24"/>
      <w:lang w:eastAsia="es-MX"/>
    </w:rPr>
  </w:style>
  <w:style w:type="paragraph" w:customStyle="1" w:styleId="xl68">
    <w:name w:val="xl68"/>
    <w:basedOn w:val="Normal"/>
    <w:rsid w:val="00EE7A86"/>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jc w:val="center"/>
    </w:pPr>
    <w:rPr>
      <w:rFonts w:eastAsia="Times New Roman"/>
      <w:b/>
      <w:bCs/>
      <w:sz w:val="24"/>
      <w:szCs w:val="24"/>
      <w:lang w:eastAsia="es-MX"/>
    </w:rPr>
  </w:style>
  <w:style w:type="paragraph" w:customStyle="1" w:styleId="xl69">
    <w:name w:val="xl69"/>
    <w:basedOn w:val="Normal"/>
    <w:rsid w:val="00EE7A86"/>
    <w:pPr>
      <w:spacing w:before="100" w:beforeAutospacing="1" w:after="100" w:afterAutospacing="1" w:line="240" w:lineRule="auto"/>
      <w:jc w:val="center"/>
    </w:pPr>
    <w:rPr>
      <w:rFonts w:eastAsia="Times New Roman"/>
      <w:sz w:val="24"/>
      <w:szCs w:val="24"/>
      <w:lang w:eastAsia="es-MX"/>
    </w:rPr>
  </w:style>
  <w:style w:type="paragraph" w:customStyle="1" w:styleId="xl70">
    <w:name w:val="xl70"/>
    <w:basedOn w:val="Normal"/>
    <w:rsid w:val="00EE7A8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E7A86"/>
    <w:pPr>
      <w:spacing w:before="100" w:beforeAutospacing="1" w:after="100" w:afterAutospacing="1" w:line="240" w:lineRule="auto"/>
    </w:pPr>
    <w:rPr>
      <w:rFonts w:eastAsia="Times New Roman"/>
      <w:sz w:val="24"/>
      <w:szCs w:val="24"/>
      <w:lang w:eastAsia="es-MX"/>
    </w:rPr>
  </w:style>
  <w:style w:type="paragraph" w:customStyle="1" w:styleId="xl72">
    <w:name w:val="xl72"/>
    <w:basedOn w:val="Normal"/>
    <w:rsid w:val="00EE7A8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eastAsia="Times New Roman"/>
      <w:sz w:val="24"/>
      <w:szCs w:val="24"/>
      <w:lang w:eastAsia="es-MX"/>
    </w:rPr>
  </w:style>
  <w:style w:type="paragraph" w:customStyle="1" w:styleId="xl73">
    <w:name w:val="xl73"/>
    <w:basedOn w:val="Normal"/>
    <w:rsid w:val="00EE7A86"/>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line="240" w:lineRule="auto"/>
    </w:pPr>
    <w:rPr>
      <w:rFonts w:eastAsia="Times New Roman"/>
      <w:sz w:val="24"/>
      <w:szCs w:val="24"/>
      <w:lang w:eastAsia="es-MX"/>
    </w:rPr>
  </w:style>
  <w:style w:type="paragraph" w:customStyle="1" w:styleId="xl74">
    <w:name w:val="xl74"/>
    <w:basedOn w:val="Normal"/>
    <w:rsid w:val="00EE7A86"/>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line="240" w:lineRule="auto"/>
    </w:pPr>
    <w:rPr>
      <w:rFonts w:eastAsia="Times New Roman"/>
      <w:sz w:val="24"/>
      <w:szCs w:val="24"/>
      <w:lang w:eastAsia="es-MX"/>
    </w:rPr>
  </w:style>
  <w:style w:type="paragraph" w:customStyle="1" w:styleId="xl75">
    <w:name w:val="xl75"/>
    <w:basedOn w:val="Normal"/>
    <w:rsid w:val="00EE7A86"/>
    <w:pPr>
      <w:pBdr>
        <w:top w:val="single" w:sz="4" w:space="0" w:color="BFBFBF"/>
        <w:left w:val="single" w:sz="4" w:space="0" w:color="BFBFBF"/>
        <w:bottom w:val="single" w:sz="4" w:space="0" w:color="BFBFBF"/>
      </w:pBdr>
      <w:shd w:val="clear" w:color="000000" w:fill="002060"/>
      <w:spacing w:before="100" w:beforeAutospacing="1" w:after="100" w:afterAutospacing="1" w:line="240" w:lineRule="auto"/>
      <w:jc w:val="center"/>
      <w:textAlignment w:val="center"/>
    </w:pPr>
    <w:rPr>
      <w:rFonts w:eastAsia="Times New Roman"/>
      <w:b/>
      <w:bCs/>
      <w:color w:val="FFFFFF"/>
      <w:sz w:val="24"/>
      <w:szCs w:val="24"/>
      <w:lang w:eastAsia="es-MX"/>
    </w:rPr>
  </w:style>
  <w:style w:type="paragraph" w:customStyle="1" w:styleId="xl76">
    <w:name w:val="xl76"/>
    <w:basedOn w:val="Normal"/>
    <w:rsid w:val="00EE7A86"/>
    <w:pPr>
      <w:pBdr>
        <w:top w:val="single" w:sz="4" w:space="0" w:color="BFBFBF"/>
        <w:bottom w:val="single" w:sz="4" w:space="0" w:color="BFBFBF"/>
      </w:pBdr>
      <w:shd w:val="clear" w:color="000000" w:fill="002060"/>
      <w:spacing w:before="100" w:beforeAutospacing="1" w:after="100" w:afterAutospacing="1" w:line="240" w:lineRule="auto"/>
      <w:jc w:val="center"/>
      <w:textAlignment w:val="center"/>
    </w:pPr>
    <w:rPr>
      <w:rFonts w:eastAsia="Times New Roman"/>
      <w:b/>
      <w:bCs/>
      <w:color w:val="FFFFFF"/>
      <w:sz w:val="24"/>
      <w:szCs w:val="24"/>
      <w:lang w:eastAsia="es-MX"/>
    </w:rPr>
  </w:style>
  <w:style w:type="paragraph" w:customStyle="1" w:styleId="xl77">
    <w:name w:val="xl77"/>
    <w:basedOn w:val="Normal"/>
    <w:rsid w:val="00EE7A86"/>
    <w:pPr>
      <w:pBdr>
        <w:top w:val="single" w:sz="4" w:space="0" w:color="BFBFBF"/>
        <w:bottom w:val="single" w:sz="4" w:space="0" w:color="BFBFBF"/>
        <w:right w:val="single" w:sz="4" w:space="0" w:color="BFBFBF"/>
      </w:pBdr>
      <w:shd w:val="clear" w:color="000000" w:fill="002060"/>
      <w:spacing w:before="100" w:beforeAutospacing="1" w:after="100" w:afterAutospacing="1" w:line="240" w:lineRule="auto"/>
      <w:jc w:val="center"/>
      <w:textAlignment w:val="center"/>
    </w:pPr>
    <w:rPr>
      <w:rFonts w:eastAsia="Times New Roman"/>
      <w:b/>
      <w:bCs/>
      <w:color w:val="FFFFFF"/>
      <w:sz w:val="24"/>
      <w:szCs w:val="24"/>
      <w:lang w:eastAsia="es-MX"/>
    </w:rPr>
  </w:style>
  <w:style w:type="paragraph" w:customStyle="1" w:styleId="xl78">
    <w:name w:val="xl78"/>
    <w:basedOn w:val="Normal"/>
    <w:rsid w:val="00EE7A86"/>
    <w:pPr>
      <w:pBdr>
        <w:left w:val="single" w:sz="4" w:space="0" w:color="BFBFBF"/>
        <w:bottom w:val="single" w:sz="4" w:space="0" w:color="BFBFBF"/>
        <w:right w:val="single" w:sz="4" w:space="0" w:color="BFBFBF"/>
      </w:pBdr>
      <w:shd w:val="clear" w:color="000000" w:fill="002060"/>
      <w:spacing w:before="100" w:beforeAutospacing="1" w:after="100" w:afterAutospacing="1" w:line="240" w:lineRule="auto"/>
      <w:jc w:val="center"/>
      <w:textAlignment w:val="center"/>
    </w:pPr>
    <w:rPr>
      <w:rFonts w:eastAsia="Times New Roman"/>
      <w:b/>
      <w:bCs/>
      <w:color w:val="FFFFFF"/>
      <w:sz w:val="24"/>
      <w:szCs w:val="24"/>
      <w:lang w:eastAsia="es-MX"/>
    </w:rPr>
  </w:style>
  <w:style w:type="paragraph" w:customStyle="1" w:styleId="xl79">
    <w:name w:val="xl79"/>
    <w:basedOn w:val="Normal"/>
    <w:rsid w:val="00E17D1F"/>
    <w:pPr>
      <w:spacing w:before="100" w:beforeAutospacing="1" w:after="100" w:afterAutospacing="1" w:line="240" w:lineRule="auto"/>
      <w:ind w:firstLineChars="200" w:firstLine="200"/>
      <w:textAlignment w:val="top"/>
    </w:pPr>
    <w:rPr>
      <w:rFonts w:eastAsia="Times New Roman"/>
      <w:b/>
      <w:bCs/>
      <w:sz w:val="18"/>
      <w:szCs w:val="18"/>
      <w:lang w:eastAsia="es-MX"/>
    </w:rPr>
  </w:style>
  <w:style w:type="paragraph" w:customStyle="1" w:styleId="xl80">
    <w:name w:val="xl80"/>
    <w:basedOn w:val="Normal"/>
    <w:rsid w:val="00E17D1F"/>
    <w:pPr>
      <w:spacing w:before="100" w:beforeAutospacing="1" w:after="100" w:afterAutospacing="1" w:line="240" w:lineRule="auto"/>
      <w:ind w:firstLineChars="400" w:firstLine="400"/>
      <w:textAlignment w:val="top"/>
    </w:pPr>
    <w:rPr>
      <w:rFonts w:eastAsia="Times New Roman"/>
      <w:b/>
      <w:bCs/>
      <w:sz w:val="18"/>
      <w:szCs w:val="18"/>
      <w:lang w:eastAsia="es-MX"/>
    </w:rPr>
  </w:style>
  <w:style w:type="paragraph" w:customStyle="1" w:styleId="xl81">
    <w:name w:val="xl81"/>
    <w:basedOn w:val="Normal"/>
    <w:rsid w:val="00E17D1F"/>
    <w:pPr>
      <w:spacing w:before="100" w:beforeAutospacing="1" w:after="100" w:afterAutospacing="1" w:line="240" w:lineRule="auto"/>
      <w:ind w:firstLineChars="400" w:firstLine="400"/>
      <w:textAlignment w:val="top"/>
    </w:pPr>
    <w:rPr>
      <w:rFonts w:eastAsia="Times New Roman"/>
      <w:b/>
      <w:bCs/>
      <w:sz w:val="18"/>
      <w:szCs w:val="18"/>
      <w:lang w:eastAsia="es-MX"/>
    </w:rPr>
  </w:style>
  <w:style w:type="paragraph" w:customStyle="1" w:styleId="xl82">
    <w:name w:val="xl82"/>
    <w:basedOn w:val="Normal"/>
    <w:rsid w:val="00E17D1F"/>
    <w:pPr>
      <w:spacing w:before="100" w:beforeAutospacing="1" w:after="100" w:afterAutospacing="1" w:line="240" w:lineRule="auto"/>
      <w:jc w:val="right"/>
      <w:textAlignment w:val="top"/>
    </w:pPr>
    <w:rPr>
      <w:rFonts w:eastAsia="Times New Roman"/>
      <w:sz w:val="18"/>
      <w:szCs w:val="18"/>
      <w:lang w:eastAsia="es-MX"/>
    </w:rPr>
  </w:style>
  <w:style w:type="paragraph" w:customStyle="1" w:styleId="xl83">
    <w:name w:val="xl83"/>
    <w:basedOn w:val="Normal"/>
    <w:rsid w:val="00E17D1F"/>
    <w:pPr>
      <w:spacing w:before="100" w:beforeAutospacing="1" w:after="100" w:afterAutospacing="1" w:line="240" w:lineRule="auto"/>
      <w:jc w:val="right"/>
      <w:textAlignment w:val="top"/>
    </w:pPr>
    <w:rPr>
      <w:rFonts w:eastAsia="Times New Roman"/>
      <w:sz w:val="18"/>
      <w:szCs w:val="18"/>
      <w:lang w:eastAsia="es-MX"/>
    </w:rPr>
  </w:style>
  <w:style w:type="paragraph" w:customStyle="1" w:styleId="xl84">
    <w:name w:val="xl84"/>
    <w:basedOn w:val="Normal"/>
    <w:rsid w:val="00E17D1F"/>
    <w:pPr>
      <w:spacing w:before="100" w:beforeAutospacing="1" w:after="100" w:afterAutospacing="1" w:line="240" w:lineRule="auto"/>
      <w:textAlignment w:val="top"/>
    </w:pPr>
    <w:rPr>
      <w:rFonts w:eastAsia="Times New Roman"/>
      <w:b/>
      <w:bCs/>
      <w:color w:val="FFFFFF"/>
      <w:sz w:val="18"/>
      <w:szCs w:val="18"/>
      <w:lang w:eastAsia="es-MX"/>
    </w:rPr>
  </w:style>
  <w:style w:type="paragraph" w:customStyle="1" w:styleId="xl85">
    <w:name w:val="xl85"/>
    <w:basedOn w:val="Normal"/>
    <w:rsid w:val="00E17D1F"/>
    <w:pPr>
      <w:spacing w:before="100" w:beforeAutospacing="1" w:after="100" w:afterAutospacing="1" w:line="240" w:lineRule="auto"/>
      <w:textAlignment w:val="top"/>
    </w:pPr>
    <w:rPr>
      <w:rFonts w:eastAsia="Times New Roman"/>
      <w:sz w:val="18"/>
      <w:szCs w:val="18"/>
      <w:lang w:eastAsia="es-MX"/>
    </w:rPr>
  </w:style>
  <w:style w:type="paragraph" w:customStyle="1" w:styleId="xl86">
    <w:name w:val="xl86"/>
    <w:basedOn w:val="Normal"/>
    <w:rsid w:val="00E17D1F"/>
    <w:pPr>
      <w:spacing w:before="100" w:beforeAutospacing="1" w:after="100" w:afterAutospacing="1" w:line="240" w:lineRule="auto"/>
      <w:textAlignment w:val="top"/>
    </w:pPr>
    <w:rPr>
      <w:rFonts w:eastAsia="Times New Roman"/>
      <w:sz w:val="18"/>
      <w:szCs w:val="18"/>
      <w:lang w:eastAsia="es-MX"/>
    </w:rPr>
  </w:style>
  <w:style w:type="paragraph" w:customStyle="1" w:styleId="xl87">
    <w:name w:val="xl87"/>
    <w:basedOn w:val="Normal"/>
    <w:rsid w:val="00E17D1F"/>
    <w:pPr>
      <w:spacing w:before="100" w:beforeAutospacing="1" w:after="100" w:afterAutospacing="1" w:line="240" w:lineRule="auto"/>
      <w:textAlignment w:val="top"/>
    </w:pPr>
    <w:rPr>
      <w:rFonts w:eastAsia="Times New Roman"/>
      <w:sz w:val="18"/>
      <w:szCs w:val="18"/>
      <w:lang w:eastAsia="es-MX"/>
    </w:rPr>
  </w:style>
  <w:style w:type="paragraph" w:customStyle="1" w:styleId="xl88">
    <w:name w:val="xl88"/>
    <w:basedOn w:val="Normal"/>
    <w:rsid w:val="00E17D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89">
    <w:name w:val="xl89"/>
    <w:basedOn w:val="Normal"/>
    <w:rsid w:val="00E17D1F"/>
    <w:pPr>
      <w:shd w:val="clear" w:color="000000" w:fill="FFFF00"/>
      <w:spacing w:before="100" w:beforeAutospacing="1" w:after="100" w:afterAutospacing="1" w:line="240" w:lineRule="auto"/>
      <w:textAlignment w:val="top"/>
    </w:pPr>
    <w:rPr>
      <w:rFonts w:eastAsia="Times New Roman"/>
      <w:sz w:val="18"/>
      <w:szCs w:val="18"/>
      <w:lang w:eastAsia="es-MX"/>
    </w:rPr>
  </w:style>
  <w:style w:type="paragraph" w:styleId="Encabezado">
    <w:name w:val="header"/>
    <w:basedOn w:val="Normal"/>
    <w:link w:val="EncabezadoCar"/>
    <w:uiPriority w:val="99"/>
    <w:unhideWhenUsed/>
    <w:rsid w:val="003934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47E"/>
  </w:style>
  <w:style w:type="paragraph" w:styleId="Piedepgina">
    <w:name w:val="footer"/>
    <w:basedOn w:val="Normal"/>
    <w:link w:val="PiedepginaCar"/>
    <w:uiPriority w:val="99"/>
    <w:unhideWhenUsed/>
    <w:rsid w:val="003934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3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69279">
      <w:bodyDiv w:val="1"/>
      <w:marLeft w:val="0"/>
      <w:marRight w:val="0"/>
      <w:marTop w:val="0"/>
      <w:marBottom w:val="0"/>
      <w:divBdr>
        <w:top w:val="none" w:sz="0" w:space="0" w:color="auto"/>
        <w:left w:val="none" w:sz="0" w:space="0" w:color="auto"/>
        <w:bottom w:val="none" w:sz="0" w:space="0" w:color="auto"/>
        <w:right w:val="none" w:sz="0" w:space="0" w:color="auto"/>
      </w:divBdr>
    </w:div>
    <w:div w:id="330261231">
      <w:bodyDiv w:val="1"/>
      <w:marLeft w:val="0"/>
      <w:marRight w:val="0"/>
      <w:marTop w:val="0"/>
      <w:marBottom w:val="0"/>
      <w:divBdr>
        <w:top w:val="none" w:sz="0" w:space="0" w:color="auto"/>
        <w:left w:val="none" w:sz="0" w:space="0" w:color="auto"/>
        <w:bottom w:val="none" w:sz="0" w:space="0" w:color="auto"/>
        <w:right w:val="none" w:sz="0" w:space="0" w:color="auto"/>
      </w:divBdr>
    </w:div>
    <w:div w:id="356127206">
      <w:bodyDiv w:val="1"/>
      <w:marLeft w:val="0"/>
      <w:marRight w:val="0"/>
      <w:marTop w:val="0"/>
      <w:marBottom w:val="0"/>
      <w:divBdr>
        <w:top w:val="none" w:sz="0" w:space="0" w:color="auto"/>
        <w:left w:val="none" w:sz="0" w:space="0" w:color="auto"/>
        <w:bottom w:val="none" w:sz="0" w:space="0" w:color="auto"/>
        <w:right w:val="none" w:sz="0" w:space="0" w:color="auto"/>
      </w:divBdr>
    </w:div>
    <w:div w:id="436946231">
      <w:bodyDiv w:val="1"/>
      <w:marLeft w:val="0"/>
      <w:marRight w:val="0"/>
      <w:marTop w:val="0"/>
      <w:marBottom w:val="0"/>
      <w:divBdr>
        <w:top w:val="none" w:sz="0" w:space="0" w:color="auto"/>
        <w:left w:val="none" w:sz="0" w:space="0" w:color="auto"/>
        <w:bottom w:val="none" w:sz="0" w:space="0" w:color="auto"/>
        <w:right w:val="none" w:sz="0" w:space="0" w:color="auto"/>
      </w:divBdr>
    </w:div>
    <w:div w:id="556167699">
      <w:bodyDiv w:val="1"/>
      <w:marLeft w:val="0"/>
      <w:marRight w:val="0"/>
      <w:marTop w:val="0"/>
      <w:marBottom w:val="0"/>
      <w:divBdr>
        <w:top w:val="none" w:sz="0" w:space="0" w:color="auto"/>
        <w:left w:val="none" w:sz="0" w:space="0" w:color="auto"/>
        <w:bottom w:val="none" w:sz="0" w:space="0" w:color="auto"/>
        <w:right w:val="none" w:sz="0" w:space="0" w:color="auto"/>
      </w:divBdr>
    </w:div>
    <w:div w:id="634794029">
      <w:bodyDiv w:val="1"/>
      <w:marLeft w:val="0"/>
      <w:marRight w:val="0"/>
      <w:marTop w:val="0"/>
      <w:marBottom w:val="0"/>
      <w:divBdr>
        <w:top w:val="none" w:sz="0" w:space="0" w:color="auto"/>
        <w:left w:val="none" w:sz="0" w:space="0" w:color="auto"/>
        <w:bottom w:val="none" w:sz="0" w:space="0" w:color="auto"/>
        <w:right w:val="none" w:sz="0" w:space="0" w:color="auto"/>
      </w:divBdr>
    </w:div>
    <w:div w:id="670111158">
      <w:bodyDiv w:val="1"/>
      <w:marLeft w:val="0"/>
      <w:marRight w:val="0"/>
      <w:marTop w:val="0"/>
      <w:marBottom w:val="0"/>
      <w:divBdr>
        <w:top w:val="none" w:sz="0" w:space="0" w:color="auto"/>
        <w:left w:val="none" w:sz="0" w:space="0" w:color="auto"/>
        <w:bottom w:val="none" w:sz="0" w:space="0" w:color="auto"/>
        <w:right w:val="none" w:sz="0" w:space="0" w:color="auto"/>
      </w:divBdr>
    </w:div>
    <w:div w:id="678313820">
      <w:bodyDiv w:val="1"/>
      <w:marLeft w:val="0"/>
      <w:marRight w:val="0"/>
      <w:marTop w:val="0"/>
      <w:marBottom w:val="0"/>
      <w:divBdr>
        <w:top w:val="none" w:sz="0" w:space="0" w:color="auto"/>
        <w:left w:val="none" w:sz="0" w:space="0" w:color="auto"/>
        <w:bottom w:val="none" w:sz="0" w:space="0" w:color="auto"/>
        <w:right w:val="none" w:sz="0" w:space="0" w:color="auto"/>
      </w:divBdr>
    </w:div>
    <w:div w:id="743113218">
      <w:bodyDiv w:val="1"/>
      <w:marLeft w:val="0"/>
      <w:marRight w:val="0"/>
      <w:marTop w:val="0"/>
      <w:marBottom w:val="0"/>
      <w:divBdr>
        <w:top w:val="none" w:sz="0" w:space="0" w:color="auto"/>
        <w:left w:val="none" w:sz="0" w:space="0" w:color="auto"/>
        <w:bottom w:val="none" w:sz="0" w:space="0" w:color="auto"/>
        <w:right w:val="none" w:sz="0" w:space="0" w:color="auto"/>
      </w:divBdr>
    </w:div>
    <w:div w:id="871966382">
      <w:bodyDiv w:val="1"/>
      <w:marLeft w:val="0"/>
      <w:marRight w:val="0"/>
      <w:marTop w:val="0"/>
      <w:marBottom w:val="0"/>
      <w:divBdr>
        <w:top w:val="none" w:sz="0" w:space="0" w:color="auto"/>
        <w:left w:val="none" w:sz="0" w:space="0" w:color="auto"/>
        <w:bottom w:val="none" w:sz="0" w:space="0" w:color="auto"/>
        <w:right w:val="none" w:sz="0" w:space="0" w:color="auto"/>
      </w:divBdr>
      <w:divsChild>
        <w:div w:id="203176251">
          <w:marLeft w:val="0"/>
          <w:marRight w:val="0"/>
          <w:marTop w:val="0"/>
          <w:marBottom w:val="0"/>
          <w:divBdr>
            <w:top w:val="none" w:sz="0" w:space="0" w:color="auto"/>
            <w:left w:val="none" w:sz="0" w:space="0" w:color="auto"/>
            <w:bottom w:val="none" w:sz="0" w:space="0" w:color="auto"/>
            <w:right w:val="none" w:sz="0" w:space="0" w:color="auto"/>
          </w:divBdr>
        </w:div>
        <w:div w:id="348525517">
          <w:marLeft w:val="0"/>
          <w:marRight w:val="0"/>
          <w:marTop w:val="0"/>
          <w:marBottom w:val="0"/>
          <w:divBdr>
            <w:top w:val="none" w:sz="0" w:space="0" w:color="auto"/>
            <w:left w:val="none" w:sz="0" w:space="0" w:color="auto"/>
            <w:bottom w:val="none" w:sz="0" w:space="0" w:color="auto"/>
            <w:right w:val="none" w:sz="0" w:space="0" w:color="auto"/>
          </w:divBdr>
        </w:div>
        <w:div w:id="401342774">
          <w:marLeft w:val="0"/>
          <w:marRight w:val="0"/>
          <w:marTop w:val="0"/>
          <w:marBottom w:val="0"/>
          <w:divBdr>
            <w:top w:val="none" w:sz="0" w:space="0" w:color="auto"/>
            <w:left w:val="none" w:sz="0" w:space="0" w:color="auto"/>
            <w:bottom w:val="none" w:sz="0" w:space="0" w:color="auto"/>
            <w:right w:val="none" w:sz="0" w:space="0" w:color="auto"/>
          </w:divBdr>
        </w:div>
        <w:div w:id="508757877">
          <w:marLeft w:val="0"/>
          <w:marRight w:val="0"/>
          <w:marTop w:val="0"/>
          <w:marBottom w:val="0"/>
          <w:divBdr>
            <w:top w:val="none" w:sz="0" w:space="0" w:color="auto"/>
            <w:left w:val="none" w:sz="0" w:space="0" w:color="auto"/>
            <w:bottom w:val="none" w:sz="0" w:space="0" w:color="auto"/>
            <w:right w:val="none" w:sz="0" w:space="0" w:color="auto"/>
          </w:divBdr>
        </w:div>
        <w:div w:id="1080105132">
          <w:marLeft w:val="0"/>
          <w:marRight w:val="0"/>
          <w:marTop w:val="0"/>
          <w:marBottom w:val="0"/>
          <w:divBdr>
            <w:top w:val="none" w:sz="0" w:space="0" w:color="auto"/>
            <w:left w:val="none" w:sz="0" w:space="0" w:color="auto"/>
            <w:bottom w:val="none" w:sz="0" w:space="0" w:color="auto"/>
            <w:right w:val="none" w:sz="0" w:space="0" w:color="auto"/>
          </w:divBdr>
        </w:div>
        <w:div w:id="1551266038">
          <w:marLeft w:val="0"/>
          <w:marRight w:val="0"/>
          <w:marTop w:val="0"/>
          <w:marBottom w:val="0"/>
          <w:divBdr>
            <w:top w:val="none" w:sz="0" w:space="0" w:color="auto"/>
            <w:left w:val="none" w:sz="0" w:space="0" w:color="auto"/>
            <w:bottom w:val="none" w:sz="0" w:space="0" w:color="auto"/>
            <w:right w:val="none" w:sz="0" w:space="0" w:color="auto"/>
          </w:divBdr>
        </w:div>
        <w:div w:id="2126805683">
          <w:marLeft w:val="0"/>
          <w:marRight w:val="0"/>
          <w:marTop w:val="0"/>
          <w:marBottom w:val="0"/>
          <w:divBdr>
            <w:top w:val="none" w:sz="0" w:space="0" w:color="auto"/>
            <w:left w:val="none" w:sz="0" w:space="0" w:color="auto"/>
            <w:bottom w:val="none" w:sz="0" w:space="0" w:color="auto"/>
            <w:right w:val="none" w:sz="0" w:space="0" w:color="auto"/>
          </w:divBdr>
        </w:div>
      </w:divsChild>
    </w:div>
    <w:div w:id="876234264">
      <w:bodyDiv w:val="1"/>
      <w:marLeft w:val="0"/>
      <w:marRight w:val="0"/>
      <w:marTop w:val="0"/>
      <w:marBottom w:val="0"/>
      <w:divBdr>
        <w:top w:val="none" w:sz="0" w:space="0" w:color="auto"/>
        <w:left w:val="none" w:sz="0" w:space="0" w:color="auto"/>
        <w:bottom w:val="none" w:sz="0" w:space="0" w:color="auto"/>
        <w:right w:val="none" w:sz="0" w:space="0" w:color="auto"/>
      </w:divBdr>
    </w:div>
    <w:div w:id="928923240">
      <w:bodyDiv w:val="1"/>
      <w:marLeft w:val="0"/>
      <w:marRight w:val="0"/>
      <w:marTop w:val="0"/>
      <w:marBottom w:val="0"/>
      <w:divBdr>
        <w:top w:val="none" w:sz="0" w:space="0" w:color="auto"/>
        <w:left w:val="none" w:sz="0" w:space="0" w:color="auto"/>
        <w:bottom w:val="none" w:sz="0" w:space="0" w:color="auto"/>
        <w:right w:val="none" w:sz="0" w:space="0" w:color="auto"/>
      </w:divBdr>
      <w:divsChild>
        <w:div w:id="553734608">
          <w:marLeft w:val="0"/>
          <w:marRight w:val="0"/>
          <w:marTop w:val="0"/>
          <w:marBottom w:val="0"/>
          <w:divBdr>
            <w:top w:val="none" w:sz="0" w:space="0" w:color="auto"/>
            <w:left w:val="none" w:sz="0" w:space="0" w:color="auto"/>
            <w:bottom w:val="none" w:sz="0" w:space="0" w:color="auto"/>
            <w:right w:val="none" w:sz="0" w:space="0" w:color="auto"/>
          </w:divBdr>
          <w:divsChild>
            <w:div w:id="285550559">
              <w:marLeft w:val="0"/>
              <w:marRight w:val="0"/>
              <w:marTop w:val="0"/>
              <w:marBottom w:val="0"/>
              <w:divBdr>
                <w:top w:val="none" w:sz="0" w:space="0" w:color="auto"/>
                <w:left w:val="none" w:sz="0" w:space="0" w:color="auto"/>
                <w:bottom w:val="none" w:sz="0" w:space="0" w:color="auto"/>
                <w:right w:val="none" w:sz="0" w:space="0" w:color="auto"/>
              </w:divBdr>
            </w:div>
            <w:div w:id="924146640">
              <w:marLeft w:val="0"/>
              <w:marRight w:val="0"/>
              <w:marTop w:val="0"/>
              <w:marBottom w:val="0"/>
              <w:divBdr>
                <w:top w:val="none" w:sz="0" w:space="0" w:color="auto"/>
                <w:left w:val="none" w:sz="0" w:space="0" w:color="auto"/>
                <w:bottom w:val="none" w:sz="0" w:space="0" w:color="auto"/>
                <w:right w:val="none" w:sz="0" w:space="0" w:color="auto"/>
              </w:divBdr>
            </w:div>
          </w:divsChild>
        </w:div>
        <w:div w:id="1004473800">
          <w:marLeft w:val="0"/>
          <w:marRight w:val="0"/>
          <w:marTop w:val="0"/>
          <w:marBottom w:val="0"/>
          <w:divBdr>
            <w:top w:val="none" w:sz="0" w:space="0" w:color="auto"/>
            <w:left w:val="none" w:sz="0" w:space="0" w:color="auto"/>
            <w:bottom w:val="none" w:sz="0" w:space="0" w:color="auto"/>
            <w:right w:val="none" w:sz="0" w:space="0" w:color="auto"/>
          </w:divBdr>
          <w:divsChild>
            <w:div w:id="369111857">
              <w:marLeft w:val="0"/>
              <w:marRight w:val="0"/>
              <w:marTop w:val="0"/>
              <w:marBottom w:val="0"/>
              <w:divBdr>
                <w:top w:val="none" w:sz="0" w:space="0" w:color="auto"/>
                <w:left w:val="none" w:sz="0" w:space="0" w:color="auto"/>
                <w:bottom w:val="none" w:sz="0" w:space="0" w:color="auto"/>
                <w:right w:val="none" w:sz="0" w:space="0" w:color="auto"/>
              </w:divBdr>
            </w:div>
            <w:div w:id="480775020">
              <w:marLeft w:val="0"/>
              <w:marRight w:val="0"/>
              <w:marTop w:val="0"/>
              <w:marBottom w:val="0"/>
              <w:divBdr>
                <w:top w:val="none" w:sz="0" w:space="0" w:color="auto"/>
                <w:left w:val="none" w:sz="0" w:space="0" w:color="auto"/>
                <w:bottom w:val="none" w:sz="0" w:space="0" w:color="auto"/>
                <w:right w:val="none" w:sz="0" w:space="0" w:color="auto"/>
              </w:divBdr>
            </w:div>
            <w:div w:id="954093184">
              <w:marLeft w:val="0"/>
              <w:marRight w:val="0"/>
              <w:marTop w:val="0"/>
              <w:marBottom w:val="0"/>
              <w:divBdr>
                <w:top w:val="none" w:sz="0" w:space="0" w:color="auto"/>
                <w:left w:val="none" w:sz="0" w:space="0" w:color="auto"/>
                <w:bottom w:val="none" w:sz="0" w:space="0" w:color="auto"/>
                <w:right w:val="none" w:sz="0" w:space="0" w:color="auto"/>
              </w:divBdr>
            </w:div>
            <w:div w:id="17758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5450">
      <w:bodyDiv w:val="1"/>
      <w:marLeft w:val="0"/>
      <w:marRight w:val="0"/>
      <w:marTop w:val="0"/>
      <w:marBottom w:val="0"/>
      <w:divBdr>
        <w:top w:val="none" w:sz="0" w:space="0" w:color="auto"/>
        <w:left w:val="none" w:sz="0" w:space="0" w:color="auto"/>
        <w:bottom w:val="none" w:sz="0" w:space="0" w:color="auto"/>
        <w:right w:val="none" w:sz="0" w:space="0" w:color="auto"/>
      </w:divBdr>
    </w:div>
    <w:div w:id="1064763500">
      <w:bodyDiv w:val="1"/>
      <w:marLeft w:val="0"/>
      <w:marRight w:val="0"/>
      <w:marTop w:val="0"/>
      <w:marBottom w:val="0"/>
      <w:divBdr>
        <w:top w:val="none" w:sz="0" w:space="0" w:color="auto"/>
        <w:left w:val="none" w:sz="0" w:space="0" w:color="auto"/>
        <w:bottom w:val="none" w:sz="0" w:space="0" w:color="auto"/>
        <w:right w:val="none" w:sz="0" w:space="0" w:color="auto"/>
      </w:divBdr>
    </w:div>
    <w:div w:id="1208225910">
      <w:bodyDiv w:val="1"/>
      <w:marLeft w:val="0"/>
      <w:marRight w:val="0"/>
      <w:marTop w:val="0"/>
      <w:marBottom w:val="0"/>
      <w:divBdr>
        <w:top w:val="none" w:sz="0" w:space="0" w:color="auto"/>
        <w:left w:val="none" w:sz="0" w:space="0" w:color="auto"/>
        <w:bottom w:val="none" w:sz="0" w:space="0" w:color="auto"/>
        <w:right w:val="none" w:sz="0" w:space="0" w:color="auto"/>
      </w:divBdr>
    </w:div>
    <w:div w:id="1221864033">
      <w:bodyDiv w:val="1"/>
      <w:marLeft w:val="0"/>
      <w:marRight w:val="0"/>
      <w:marTop w:val="0"/>
      <w:marBottom w:val="0"/>
      <w:divBdr>
        <w:top w:val="none" w:sz="0" w:space="0" w:color="auto"/>
        <w:left w:val="none" w:sz="0" w:space="0" w:color="auto"/>
        <w:bottom w:val="none" w:sz="0" w:space="0" w:color="auto"/>
        <w:right w:val="none" w:sz="0" w:space="0" w:color="auto"/>
      </w:divBdr>
    </w:div>
    <w:div w:id="1326401586">
      <w:bodyDiv w:val="1"/>
      <w:marLeft w:val="0"/>
      <w:marRight w:val="0"/>
      <w:marTop w:val="0"/>
      <w:marBottom w:val="0"/>
      <w:divBdr>
        <w:top w:val="none" w:sz="0" w:space="0" w:color="auto"/>
        <w:left w:val="none" w:sz="0" w:space="0" w:color="auto"/>
        <w:bottom w:val="none" w:sz="0" w:space="0" w:color="auto"/>
        <w:right w:val="none" w:sz="0" w:space="0" w:color="auto"/>
      </w:divBdr>
    </w:div>
    <w:div w:id="1435662817">
      <w:bodyDiv w:val="1"/>
      <w:marLeft w:val="0"/>
      <w:marRight w:val="0"/>
      <w:marTop w:val="0"/>
      <w:marBottom w:val="0"/>
      <w:divBdr>
        <w:top w:val="none" w:sz="0" w:space="0" w:color="auto"/>
        <w:left w:val="none" w:sz="0" w:space="0" w:color="auto"/>
        <w:bottom w:val="none" w:sz="0" w:space="0" w:color="auto"/>
        <w:right w:val="none" w:sz="0" w:space="0" w:color="auto"/>
      </w:divBdr>
      <w:divsChild>
        <w:div w:id="65613595">
          <w:marLeft w:val="0"/>
          <w:marRight w:val="0"/>
          <w:marTop w:val="0"/>
          <w:marBottom w:val="0"/>
          <w:divBdr>
            <w:top w:val="none" w:sz="0" w:space="0" w:color="auto"/>
            <w:left w:val="none" w:sz="0" w:space="0" w:color="auto"/>
            <w:bottom w:val="none" w:sz="0" w:space="0" w:color="auto"/>
            <w:right w:val="none" w:sz="0" w:space="0" w:color="auto"/>
          </w:divBdr>
        </w:div>
        <w:div w:id="449328063">
          <w:marLeft w:val="0"/>
          <w:marRight w:val="0"/>
          <w:marTop w:val="0"/>
          <w:marBottom w:val="0"/>
          <w:divBdr>
            <w:top w:val="none" w:sz="0" w:space="0" w:color="auto"/>
            <w:left w:val="none" w:sz="0" w:space="0" w:color="auto"/>
            <w:bottom w:val="none" w:sz="0" w:space="0" w:color="auto"/>
            <w:right w:val="none" w:sz="0" w:space="0" w:color="auto"/>
          </w:divBdr>
          <w:divsChild>
            <w:div w:id="1218398771">
              <w:marLeft w:val="-75"/>
              <w:marRight w:val="0"/>
              <w:marTop w:val="30"/>
              <w:marBottom w:val="30"/>
              <w:divBdr>
                <w:top w:val="none" w:sz="0" w:space="0" w:color="auto"/>
                <w:left w:val="none" w:sz="0" w:space="0" w:color="auto"/>
                <w:bottom w:val="none" w:sz="0" w:space="0" w:color="auto"/>
                <w:right w:val="none" w:sz="0" w:space="0" w:color="auto"/>
              </w:divBdr>
              <w:divsChild>
                <w:div w:id="1973635">
                  <w:marLeft w:val="0"/>
                  <w:marRight w:val="0"/>
                  <w:marTop w:val="0"/>
                  <w:marBottom w:val="0"/>
                  <w:divBdr>
                    <w:top w:val="none" w:sz="0" w:space="0" w:color="auto"/>
                    <w:left w:val="none" w:sz="0" w:space="0" w:color="auto"/>
                    <w:bottom w:val="none" w:sz="0" w:space="0" w:color="auto"/>
                    <w:right w:val="none" w:sz="0" w:space="0" w:color="auto"/>
                  </w:divBdr>
                  <w:divsChild>
                    <w:div w:id="513768243">
                      <w:marLeft w:val="0"/>
                      <w:marRight w:val="0"/>
                      <w:marTop w:val="0"/>
                      <w:marBottom w:val="0"/>
                      <w:divBdr>
                        <w:top w:val="none" w:sz="0" w:space="0" w:color="auto"/>
                        <w:left w:val="none" w:sz="0" w:space="0" w:color="auto"/>
                        <w:bottom w:val="none" w:sz="0" w:space="0" w:color="auto"/>
                        <w:right w:val="none" w:sz="0" w:space="0" w:color="auto"/>
                      </w:divBdr>
                    </w:div>
                  </w:divsChild>
                </w:div>
                <w:div w:id="101539978">
                  <w:marLeft w:val="0"/>
                  <w:marRight w:val="0"/>
                  <w:marTop w:val="0"/>
                  <w:marBottom w:val="0"/>
                  <w:divBdr>
                    <w:top w:val="none" w:sz="0" w:space="0" w:color="auto"/>
                    <w:left w:val="none" w:sz="0" w:space="0" w:color="auto"/>
                    <w:bottom w:val="none" w:sz="0" w:space="0" w:color="auto"/>
                    <w:right w:val="none" w:sz="0" w:space="0" w:color="auto"/>
                  </w:divBdr>
                  <w:divsChild>
                    <w:div w:id="1003245240">
                      <w:marLeft w:val="0"/>
                      <w:marRight w:val="0"/>
                      <w:marTop w:val="0"/>
                      <w:marBottom w:val="0"/>
                      <w:divBdr>
                        <w:top w:val="none" w:sz="0" w:space="0" w:color="auto"/>
                        <w:left w:val="none" w:sz="0" w:space="0" w:color="auto"/>
                        <w:bottom w:val="none" w:sz="0" w:space="0" w:color="auto"/>
                        <w:right w:val="none" w:sz="0" w:space="0" w:color="auto"/>
                      </w:divBdr>
                    </w:div>
                  </w:divsChild>
                </w:div>
                <w:div w:id="127165343">
                  <w:marLeft w:val="0"/>
                  <w:marRight w:val="0"/>
                  <w:marTop w:val="0"/>
                  <w:marBottom w:val="0"/>
                  <w:divBdr>
                    <w:top w:val="none" w:sz="0" w:space="0" w:color="auto"/>
                    <w:left w:val="none" w:sz="0" w:space="0" w:color="auto"/>
                    <w:bottom w:val="none" w:sz="0" w:space="0" w:color="auto"/>
                    <w:right w:val="none" w:sz="0" w:space="0" w:color="auto"/>
                  </w:divBdr>
                  <w:divsChild>
                    <w:div w:id="2105607569">
                      <w:marLeft w:val="0"/>
                      <w:marRight w:val="0"/>
                      <w:marTop w:val="0"/>
                      <w:marBottom w:val="0"/>
                      <w:divBdr>
                        <w:top w:val="none" w:sz="0" w:space="0" w:color="auto"/>
                        <w:left w:val="none" w:sz="0" w:space="0" w:color="auto"/>
                        <w:bottom w:val="none" w:sz="0" w:space="0" w:color="auto"/>
                        <w:right w:val="none" w:sz="0" w:space="0" w:color="auto"/>
                      </w:divBdr>
                    </w:div>
                  </w:divsChild>
                </w:div>
                <w:div w:id="138887851">
                  <w:marLeft w:val="0"/>
                  <w:marRight w:val="0"/>
                  <w:marTop w:val="0"/>
                  <w:marBottom w:val="0"/>
                  <w:divBdr>
                    <w:top w:val="none" w:sz="0" w:space="0" w:color="auto"/>
                    <w:left w:val="none" w:sz="0" w:space="0" w:color="auto"/>
                    <w:bottom w:val="none" w:sz="0" w:space="0" w:color="auto"/>
                    <w:right w:val="none" w:sz="0" w:space="0" w:color="auto"/>
                  </w:divBdr>
                  <w:divsChild>
                    <w:div w:id="584339545">
                      <w:marLeft w:val="0"/>
                      <w:marRight w:val="0"/>
                      <w:marTop w:val="0"/>
                      <w:marBottom w:val="0"/>
                      <w:divBdr>
                        <w:top w:val="none" w:sz="0" w:space="0" w:color="auto"/>
                        <w:left w:val="none" w:sz="0" w:space="0" w:color="auto"/>
                        <w:bottom w:val="none" w:sz="0" w:space="0" w:color="auto"/>
                        <w:right w:val="none" w:sz="0" w:space="0" w:color="auto"/>
                      </w:divBdr>
                    </w:div>
                  </w:divsChild>
                </w:div>
                <w:div w:id="244651755">
                  <w:marLeft w:val="0"/>
                  <w:marRight w:val="0"/>
                  <w:marTop w:val="0"/>
                  <w:marBottom w:val="0"/>
                  <w:divBdr>
                    <w:top w:val="none" w:sz="0" w:space="0" w:color="auto"/>
                    <w:left w:val="none" w:sz="0" w:space="0" w:color="auto"/>
                    <w:bottom w:val="none" w:sz="0" w:space="0" w:color="auto"/>
                    <w:right w:val="none" w:sz="0" w:space="0" w:color="auto"/>
                  </w:divBdr>
                  <w:divsChild>
                    <w:div w:id="35856557">
                      <w:marLeft w:val="0"/>
                      <w:marRight w:val="0"/>
                      <w:marTop w:val="0"/>
                      <w:marBottom w:val="0"/>
                      <w:divBdr>
                        <w:top w:val="none" w:sz="0" w:space="0" w:color="auto"/>
                        <w:left w:val="none" w:sz="0" w:space="0" w:color="auto"/>
                        <w:bottom w:val="none" w:sz="0" w:space="0" w:color="auto"/>
                        <w:right w:val="none" w:sz="0" w:space="0" w:color="auto"/>
                      </w:divBdr>
                    </w:div>
                  </w:divsChild>
                </w:div>
                <w:div w:id="467434661">
                  <w:marLeft w:val="0"/>
                  <w:marRight w:val="0"/>
                  <w:marTop w:val="0"/>
                  <w:marBottom w:val="0"/>
                  <w:divBdr>
                    <w:top w:val="none" w:sz="0" w:space="0" w:color="auto"/>
                    <w:left w:val="none" w:sz="0" w:space="0" w:color="auto"/>
                    <w:bottom w:val="none" w:sz="0" w:space="0" w:color="auto"/>
                    <w:right w:val="none" w:sz="0" w:space="0" w:color="auto"/>
                  </w:divBdr>
                  <w:divsChild>
                    <w:div w:id="330641936">
                      <w:marLeft w:val="0"/>
                      <w:marRight w:val="0"/>
                      <w:marTop w:val="0"/>
                      <w:marBottom w:val="0"/>
                      <w:divBdr>
                        <w:top w:val="none" w:sz="0" w:space="0" w:color="auto"/>
                        <w:left w:val="none" w:sz="0" w:space="0" w:color="auto"/>
                        <w:bottom w:val="none" w:sz="0" w:space="0" w:color="auto"/>
                        <w:right w:val="none" w:sz="0" w:space="0" w:color="auto"/>
                      </w:divBdr>
                    </w:div>
                  </w:divsChild>
                </w:div>
                <w:div w:id="489297031">
                  <w:marLeft w:val="0"/>
                  <w:marRight w:val="0"/>
                  <w:marTop w:val="0"/>
                  <w:marBottom w:val="0"/>
                  <w:divBdr>
                    <w:top w:val="none" w:sz="0" w:space="0" w:color="auto"/>
                    <w:left w:val="none" w:sz="0" w:space="0" w:color="auto"/>
                    <w:bottom w:val="none" w:sz="0" w:space="0" w:color="auto"/>
                    <w:right w:val="none" w:sz="0" w:space="0" w:color="auto"/>
                  </w:divBdr>
                  <w:divsChild>
                    <w:div w:id="1333945689">
                      <w:marLeft w:val="0"/>
                      <w:marRight w:val="0"/>
                      <w:marTop w:val="0"/>
                      <w:marBottom w:val="0"/>
                      <w:divBdr>
                        <w:top w:val="none" w:sz="0" w:space="0" w:color="auto"/>
                        <w:left w:val="none" w:sz="0" w:space="0" w:color="auto"/>
                        <w:bottom w:val="none" w:sz="0" w:space="0" w:color="auto"/>
                        <w:right w:val="none" w:sz="0" w:space="0" w:color="auto"/>
                      </w:divBdr>
                    </w:div>
                  </w:divsChild>
                </w:div>
                <w:div w:id="574825196">
                  <w:marLeft w:val="0"/>
                  <w:marRight w:val="0"/>
                  <w:marTop w:val="0"/>
                  <w:marBottom w:val="0"/>
                  <w:divBdr>
                    <w:top w:val="none" w:sz="0" w:space="0" w:color="auto"/>
                    <w:left w:val="none" w:sz="0" w:space="0" w:color="auto"/>
                    <w:bottom w:val="none" w:sz="0" w:space="0" w:color="auto"/>
                    <w:right w:val="none" w:sz="0" w:space="0" w:color="auto"/>
                  </w:divBdr>
                  <w:divsChild>
                    <w:div w:id="371030859">
                      <w:marLeft w:val="0"/>
                      <w:marRight w:val="0"/>
                      <w:marTop w:val="0"/>
                      <w:marBottom w:val="0"/>
                      <w:divBdr>
                        <w:top w:val="none" w:sz="0" w:space="0" w:color="auto"/>
                        <w:left w:val="none" w:sz="0" w:space="0" w:color="auto"/>
                        <w:bottom w:val="none" w:sz="0" w:space="0" w:color="auto"/>
                        <w:right w:val="none" w:sz="0" w:space="0" w:color="auto"/>
                      </w:divBdr>
                    </w:div>
                  </w:divsChild>
                </w:div>
                <w:div w:id="592973031">
                  <w:marLeft w:val="0"/>
                  <w:marRight w:val="0"/>
                  <w:marTop w:val="0"/>
                  <w:marBottom w:val="0"/>
                  <w:divBdr>
                    <w:top w:val="none" w:sz="0" w:space="0" w:color="auto"/>
                    <w:left w:val="none" w:sz="0" w:space="0" w:color="auto"/>
                    <w:bottom w:val="none" w:sz="0" w:space="0" w:color="auto"/>
                    <w:right w:val="none" w:sz="0" w:space="0" w:color="auto"/>
                  </w:divBdr>
                  <w:divsChild>
                    <w:div w:id="467169602">
                      <w:marLeft w:val="0"/>
                      <w:marRight w:val="0"/>
                      <w:marTop w:val="0"/>
                      <w:marBottom w:val="0"/>
                      <w:divBdr>
                        <w:top w:val="none" w:sz="0" w:space="0" w:color="auto"/>
                        <w:left w:val="none" w:sz="0" w:space="0" w:color="auto"/>
                        <w:bottom w:val="none" w:sz="0" w:space="0" w:color="auto"/>
                        <w:right w:val="none" w:sz="0" w:space="0" w:color="auto"/>
                      </w:divBdr>
                    </w:div>
                  </w:divsChild>
                </w:div>
                <w:div w:id="606012609">
                  <w:marLeft w:val="0"/>
                  <w:marRight w:val="0"/>
                  <w:marTop w:val="0"/>
                  <w:marBottom w:val="0"/>
                  <w:divBdr>
                    <w:top w:val="none" w:sz="0" w:space="0" w:color="auto"/>
                    <w:left w:val="none" w:sz="0" w:space="0" w:color="auto"/>
                    <w:bottom w:val="none" w:sz="0" w:space="0" w:color="auto"/>
                    <w:right w:val="none" w:sz="0" w:space="0" w:color="auto"/>
                  </w:divBdr>
                  <w:divsChild>
                    <w:div w:id="137960284">
                      <w:marLeft w:val="0"/>
                      <w:marRight w:val="0"/>
                      <w:marTop w:val="0"/>
                      <w:marBottom w:val="0"/>
                      <w:divBdr>
                        <w:top w:val="none" w:sz="0" w:space="0" w:color="auto"/>
                        <w:left w:val="none" w:sz="0" w:space="0" w:color="auto"/>
                        <w:bottom w:val="none" w:sz="0" w:space="0" w:color="auto"/>
                        <w:right w:val="none" w:sz="0" w:space="0" w:color="auto"/>
                      </w:divBdr>
                    </w:div>
                  </w:divsChild>
                </w:div>
                <w:div w:id="677074529">
                  <w:marLeft w:val="0"/>
                  <w:marRight w:val="0"/>
                  <w:marTop w:val="0"/>
                  <w:marBottom w:val="0"/>
                  <w:divBdr>
                    <w:top w:val="none" w:sz="0" w:space="0" w:color="auto"/>
                    <w:left w:val="none" w:sz="0" w:space="0" w:color="auto"/>
                    <w:bottom w:val="none" w:sz="0" w:space="0" w:color="auto"/>
                    <w:right w:val="none" w:sz="0" w:space="0" w:color="auto"/>
                  </w:divBdr>
                  <w:divsChild>
                    <w:div w:id="106824071">
                      <w:marLeft w:val="0"/>
                      <w:marRight w:val="0"/>
                      <w:marTop w:val="0"/>
                      <w:marBottom w:val="0"/>
                      <w:divBdr>
                        <w:top w:val="none" w:sz="0" w:space="0" w:color="auto"/>
                        <w:left w:val="none" w:sz="0" w:space="0" w:color="auto"/>
                        <w:bottom w:val="none" w:sz="0" w:space="0" w:color="auto"/>
                        <w:right w:val="none" w:sz="0" w:space="0" w:color="auto"/>
                      </w:divBdr>
                    </w:div>
                  </w:divsChild>
                </w:div>
                <w:div w:id="805195251">
                  <w:marLeft w:val="0"/>
                  <w:marRight w:val="0"/>
                  <w:marTop w:val="0"/>
                  <w:marBottom w:val="0"/>
                  <w:divBdr>
                    <w:top w:val="none" w:sz="0" w:space="0" w:color="auto"/>
                    <w:left w:val="none" w:sz="0" w:space="0" w:color="auto"/>
                    <w:bottom w:val="none" w:sz="0" w:space="0" w:color="auto"/>
                    <w:right w:val="none" w:sz="0" w:space="0" w:color="auto"/>
                  </w:divBdr>
                  <w:divsChild>
                    <w:div w:id="116607626">
                      <w:marLeft w:val="0"/>
                      <w:marRight w:val="0"/>
                      <w:marTop w:val="0"/>
                      <w:marBottom w:val="0"/>
                      <w:divBdr>
                        <w:top w:val="none" w:sz="0" w:space="0" w:color="auto"/>
                        <w:left w:val="none" w:sz="0" w:space="0" w:color="auto"/>
                        <w:bottom w:val="none" w:sz="0" w:space="0" w:color="auto"/>
                        <w:right w:val="none" w:sz="0" w:space="0" w:color="auto"/>
                      </w:divBdr>
                    </w:div>
                  </w:divsChild>
                </w:div>
                <w:div w:id="826744860">
                  <w:marLeft w:val="0"/>
                  <w:marRight w:val="0"/>
                  <w:marTop w:val="0"/>
                  <w:marBottom w:val="0"/>
                  <w:divBdr>
                    <w:top w:val="none" w:sz="0" w:space="0" w:color="auto"/>
                    <w:left w:val="none" w:sz="0" w:space="0" w:color="auto"/>
                    <w:bottom w:val="none" w:sz="0" w:space="0" w:color="auto"/>
                    <w:right w:val="none" w:sz="0" w:space="0" w:color="auto"/>
                  </w:divBdr>
                  <w:divsChild>
                    <w:div w:id="1240289717">
                      <w:marLeft w:val="0"/>
                      <w:marRight w:val="0"/>
                      <w:marTop w:val="0"/>
                      <w:marBottom w:val="0"/>
                      <w:divBdr>
                        <w:top w:val="none" w:sz="0" w:space="0" w:color="auto"/>
                        <w:left w:val="none" w:sz="0" w:space="0" w:color="auto"/>
                        <w:bottom w:val="none" w:sz="0" w:space="0" w:color="auto"/>
                        <w:right w:val="none" w:sz="0" w:space="0" w:color="auto"/>
                      </w:divBdr>
                    </w:div>
                  </w:divsChild>
                </w:div>
                <w:div w:id="966278267">
                  <w:marLeft w:val="0"/>
                  <w:marRight w:val="0"/>
                  <w:marTop w:val="0"/>
                  <w:marBottom w:val="0"/>
                  <w:divBdr>
                    <w:top w:val="none" w:sz="0" w:space="0" w:color="auto"/>
                    <w:left w:val="none" w:sz="0" w:space="0" w:color="auto"/>
                    <w:bottom w:val="none" w:sz="0" w:space="0" w:color="auto"/>
                    <w:right w:val="none" w:sz="0" w:space="0" w:color="auto"/>
                  </w:divBdr>
                  <w:divsChild>
                    <w:div w:id="276570823">
                      <w:marLeft w:val="0"/>
                      <w:marRight w:val="0"/>
                      <w:marTop w:val="0"/>
                      <w:marBottom w:val="0"/>
                      <w:divBdr>
                        <w:top w:val="none" w:sz="0" w:space="0" w:color="auto"/>
                        <w:left w:val="none" w:sz="0" w:space="0" w:color="auto"/>
                        <w:bottom w:val="none" w:sz="0" w:space="0" w:color="auto"/>
                        <w:right w:val="none" w:sz="0" w:space="0" w:color="auto"/>
                      </w:divBdr>
                    </w:div>
                  </w:divsChild>
                </w:div>
                <w:div w:id="1020207517">
                  <w:marLeft w:val="0"/>
                  <w:marRight w:val="0"/>
                  <w:marTop w:val="0"/>
                  <w:marBottom w:val="0"/>
                  <w:divBdr>
                    <w:top w:val="none" w:sz="0" w:space="0" w:color="auto"/>
                    <w:left w:val="none" w:sz="0" w:space="0" w:color="auto"/>
                    <w:bottom w:val="none" w:sz="0" w:space="0" w:color="auto"/>
                    <w:right w:val="none" w:sz="0" w:space="0" w:color="auto"/>
                  </w:divBdr>
                  <w:divsChild>
                    <w:div w:id="1728871451">
                      <w:marLeft w:val="0"/>
                      <w:marRight w:val="0"/>
                      <w:marTop w:val="0"/>
                      <w:marBottom w:val="0"/>
                      <w:divBdr>
                        <w:top w:val="none" w:sz="0" w:space="0" w:color="auto"/>
                        <w:left w:val="none" w:sz="0" w:space="0" w:color="auto"/>
                        <w:bottom w:val="none" w:sz="0" w:space="0" w:color="auto"/>
                        <w:right w:val="none" w:sz="0" w:space="0" w:color="auto"/>
                      </w:divBdr>
                    </w:div>
                  </w:divsChild>
                </w:div>
                <w:div w:id="1066415670">
                  <w:marLeft w:val="0"/>
                  <w:marRight w:val="0"/>
                  <w:marTop w:val="0"/>
                  <w:marBottom w:val="0"/>
                  <w:divBdr>
                    <w:top w:val="none" w:sz="0" w:space="0" w:color="auto"/>
                    <w:left w:val="none" w:sz="0" w:space="0" w:color="auto"/>
                    <w:bottom w:val="none" w:sz="0" w:space="0" w:color="auto"/>
                    <w:right w:val="none" w:sz="0" w:space="0" w:color="auto"/>
                  </w:divBdr>
                  <w:divsChild>
                    <w:div w:id="1740328904">
                      <w:marLeft w:val="0"/>
                      <w:marRight w:val="0"/>
                      <w:marTop w:val="0"/>
                      <w:marBottom w:val="0"/>
                      <w:divBdr>
                        <w:top w:val="none" w:sz="0" w:space="0" w:color="auto"/>
                        <w:left w:val="none" w:sz="0" w:space="0" w:color="auto"/>
                        <w:bottom w:val="none" w:sz="0" w:space="0" w:color="auto"/>
                        <w:right w:val="none" w:sz="0" w:space="0" w:color="auto"/>
                      </w:divBdr>
                    </w:div>
                  </w:divsChild>
                </w:div>
                <w:div w:id="1067343692">
                  <w:marLeft w:val="0"/>
                  <w:marRight w:val="0"/>
                  <w:marTop w:val="0"/>
                  <w:marBottom w:val="0"/>
                  <w:divBdr>
                    <w:top w:val="none" w:sz="0" w:space="0" w:color="auto"/>
                    <w:left w:val="none" w:sz="0" w:space="0" w:color="auto"/>
                    <w:bottom w:val="none" w:sz="0" w:space="0" w:color="auto"/>
                    <w:right w:val="none" w:sz="0" w:space="0" w:color="auto"/>
                  </w:divBdr>
                  <w:divsChild>
                    <w:div w:id="959150100">
                      <w:marLeft w:val="0"/>
                      <w:marRight w:val="0"/>
                      <w:marTop w:val="0"/>
                      <w:marBottom w:val="0"/>
                      <w:divBdr>
                        <w:top w:val="none" w:sz="0" w:space="0" w:color="auto"/>
                        <w:left w:val="none" w:sz="0" w:space="0" w:color="auto"/>
                        <w:bottom w:val="none" w:sz="0" w:space="0" w:color="auto"/>
                        <w:right w:val="none" w:sz="0" w:space="0" w:color="auto"/>
                      </w:divBdr>
                    </w:div>
                  </w:divsChild>
                </w:div>
                <w:div w:id="1088579650">
                  <w:marLeft w:val="0"/>
                  <w:marRight w:val="0"/>
                  <w:marTop w:val="0"/>
                  <w:marBottom w:val="0"/>
                  <w:divBdr>
                    <w:top w:val="none" w:sz="0" w:space="0" w:color="auto"/>
                    <w:left w:val="none" w:sz="0" w:space="0" w:color="auto"/>
                    <w:bottom w:val="none" w:sz="0" w:space="0" w:color="auto"/>
                    <w:right w:val="none" w:sz="0" w:space="0" w:color="auto"/>
                  </w:divBdr>
                  <w:divsChild>
                    <w:div w:id="1575630236">
                      <w:marLeft w:val="0"/>
                      <w:marRight w:val="0"/>
                      <w:marTop w:val="0"/>
                      <w:marBottom w:val="0"/>
                      <w:divBdr>
                        <w:top w:val="none" w:sz="0" w:space="0" w:color="auto"/>
                        <w:left w:val="none" w:sz="0" w:space="0" w:color="auto"/>
                        <w:bottom w:val="none" w:sz="0" w:space="0" w:color="auto"/>
                        <w:right w:val="none" w:sz="0" w:space="0" w:color="auto"/>
                      </w:divBdr>
                    </w:div>
                  </w:divsChild>
                </w:div>
                <w:div w:id="1269239514">
                  <w:marLeft w:val="0"/>
                  <w:marRight w:val="0"/>
                  <w:marTop w:val="0"/>
                  <w:marBottom w:val="0"/>
                  <w:divBdr>
                    <w:top w:val="none" w:sz="0" w:space="0" w:color="auto"/>
                    <w:left w:val="none" w:sz="0" w:space="0" w:color="auto"/>
                    <w:bottom w:val="none" w:sz="0" w:space="0" w:color="auto"/>
                    <w:right w:val="none" w:sz="0" w:space="0" w:color="auto"/>
                  </w:divBdr>
                  <w:divsChild>
                    <w:div w:id="1284455984">
                      <w:marLeft w:val="0"/>
                      <w:marRight w:val="0"/>
                      <w:marTop w:val="0"/>
                      <w:marBottom w:val="0"/>
                      <w:divBdr>
                        <w:top w:val="none" w:sz="0" w:space="0" w:color="auto"/>
                        <w:left w:val="none" w:sz="0" w:space="0" w:color="auto"/>
                        <w:bottom w:val="none" w:sz="0" w:space="0" w:color="auto"/>
                        <w:right w:val="none" w:sz="0" w:space="0" w:color="auto"/>
                      </w:divBdr>
                    </w:div>
                  </w:divsChild>
                </w:div>
                <w:div w:id="1386098400">
                  <w:marLeft w:val="0"/>
                  <w:marRight w:val="0"/>
                  <w:marTop w:val="0"/>
                  <w:marBottom w:val="0"/>
                  <w:divBdr>
                    <w:top w:val="none" w:sz="0" w:space="0" w:color="auto"/>
                    <w:left w:val="none" w:sz="0" w:space="0" w:color="auto"/>
                    <w:bottom w:val="none" w:sz="0" w:space="0" w:color="auto"/>
                    <w:right w:val="none" w:sz="0" w:space="0" w:color="auto"/>
                  </w:divBdr>
                  <w:divsChild>
                    <w:div w:id="836263755">
                      <w:marLeft w:val="0"/>
                      <w:marRight w:val="0"/>
                      <w:marTop w:val="0"/>
                      <w:marBottom w:val="0"/>
                      <w:divBdr>
                        <w:top w:val="none" w:sz="0" w:space="0" w:color="auto"/>
                        <w:left w:val="none" w:sz="0" w:space="0" w:color="auto"/>
                        <w:bottom w:val="none" w:sz="0" w:space="0" w:color="auto"/>
                        <w:right w:val="none" w:sz="0" w:space="0" w:color="auto"/>
                      </w:divBdr>
                    </w:div>
                  </w:divsChild>
                </w:div>
                <w:div w:id="1414744673">
                  <w:marLeft w:val="0"/>
                  <w:marRight w:val="0"/>
                  <w:marTop w:val="0"/>
                  <w:marBottom w:val="0"/>
                  <w:divBdr>
                    <w:top w:val="none" w:sz="0" w:space="0" w:color="auto"/>
                    <w:left w:val="none" w:sz="0" w:space="0" w:color="auto"/>
                    <w:bottom w:val="none" w:sz="0" w:space="0" w:color="auto"/>
                    <w:right w:val="none" w:sz="0" w:space="0" w:color="auto"/>
                  </w:divBdr>
                  <w:divsChild>
                    <w:div w:id="1805728734">
                      <w:marLeft w:val="0"/>
                      <w:marRight w:val="0"/>
                      <w:marTop w:val="0"/>
                      <w:marBottom w:val="0"/>
                      <w:divBdr>
                        <w:top w:val="none" w:sz="0" w:space="0" w:color="auto"/>
                        <w:left w:val="none" w:sz="0" w:space="0" w:color="auto"/>
                        <w:bottom w:val="none" w:sz="0" w:space="0" w:color="auto"/>
                        <w:right w:val="none" w:sz="0" w:space="0" w:color="auto"/>
                      </w:divBdr>
                    </w:div>
                  </w:divsChild>
                </w:div>
                <w:div w:id="1504784111">
                  <w:marLeft w:val="0"/>
                  <w:marRight w:val="0"/>
                  <w:marTop w:val="0"/>
                  <w:marBottom w:val="0"/>
                  <w:divBdr>
                    <w:top w:val="none" w:sz="0" w:space="0" w:color="auto"/>
                    <w:left w:val="none" w:sz="0" w:space="0" w:color="auto"/>
                    <w:bottom w:val="none" w:sz="0" w:space="0" w:color="auto"/>
                    <w:right w:val="none" w:sz="0" w:space="0" w:color="auto"/>
                  </w:divBdr>
                  <w:divsChild>
                    <w:div w:id="1635451583">
                      <w:marLeft w:val="0"/>
                      <w:marRight w:val="0"/>
                      <w:marTop w:val="0"/>
                      <w:marBottom w:val="0"/>
                      <w:divBdr>
                        <w:top w:val="none" w:sz="0" w:space="0" w:color="auto"/>
                        <w:left w:val="none" w:sz="0" w:space="0" w:color="auto"/>
                        <w:bottom w:val="none" w:sz="0" w:space="0" w:color="auto"/>
                        <w:right w:val="none" w:sz="0" w:space="0" w:color="auto"/>
                      </w:divBdr>
                    </w:div>
                  </w:divsChild>
                </w:div>
                <w:div w:id="1576665480">
                  <w:marLeft w:val="0"/>
                  <w:marRight w:val="0"/>
                  <w:marTop w:val="0"/>
                  <w:marBottom w:val="0"/>
                  <w:divBdr>
                    <w:top w:val="none" w:sz="0" w:space="0" w:color="auto"/>
                    <w:left w:val="none" w:sz="0" w:space="0" w:color="auto"/>
                    <w:bottom w:val="none" w:sz="0" w:space="0" w:color="auto"/>
                    <w:right w:val="none" w:sz="0" w:space="0" w:color="auto"/>
                  </w:divBdr>
                  <w:divsChild>
                    <w:div w:id="1350253504">
                      <w:marLeft w:val="0"/>
                      <w:marRight w:val="0"/>
                      <w:marTop w:val="0"/>
                      <w:marBottom w:val="0"/>
                      <w:divBdr>
                        <w:top w:val="none" w:sz="0" w:space="0" w:color="auto"/>
                        <w:left w:val="none" w:sz="0" w:space="0" w:color="auto"/>
                        <w:bottom w:val="none" w:sz="0" w:space="0" w:color="auto"/>
                        <w:right w:val="none" w:sz="0" w:space="0" w:color="auto"/>
                      </w:divBdr>
                    </w:div>
                  </w:divsChild>
                </w:div>
                <w:div w:id="1608152464">
                  <w:marLeft w:val="0"/>
                  <w:marRight w:val="0"/>
                  <w:marTop w:val="0"/>
                  <w:marBottom w:val="0"/>
                  <w:divBdr>
                    <w:top w:val="none" w:sz="0" w:space="0" w:color="auto"/>
                    <w:left w:val="none" w:sz="0" w:space="0" w:color="auto"/>
                    <w:bottom w:val="none" w:sz="0" w:space="0" w:color="auto"/>
                    <w:right w:val="none" w:sz="0" w:space="0" w:color="auto"/>
                  </w:divBdr>
                  <w:divsChild>
                    <w:div w:id="701595436">
                      <w:marLeft w:val="0"/>
                      <w:marRight w:val="0"/>
                      <w:marTop w:val="0"/>
                      <w:marBottom w:val="0"/>
                      <w:divBdr>
                        <w:top w:val="none" w:sz="0" w:space="0" w:color="auto"/>
                        <w:left w:val="none" w:sz="0" w:space="0" w:color="auto"/>
                        <w:bottom w:val="none" w:sz="0" w:space="0" w:color="auto"/>
                        <w:right w:val="none" w:sz="0" w:space="0" w:color="auto"/>
                      </w:divBdr>
                    </w:div>
                  </w:divsChild>
                </w:div>
                <w:div w:id="1658414486">
                  <w:marLeft w:val="0"/>
                  <w:marRight w:val="0"/>
                  <w:marTop w:val="0"/>
                  <w:marBottom w:val="0"/>
                  <w:divBdr>
                    <w:top w:val="none" w:sz="0" w:space="0" w:color="auto"/>
                    <w:left w:val="none" w:sz="0" w:space="0" w:color="auto"/>
                    <w:bottom w:val="none" w:sz="0" w:space="0" w:color="auto"/>
                    <w:right w:val="none" w:sz="0" w:space="0" w:color="auto"/>
                  </w:divBdr>
                  <w:divsChild>
                    <w:div w:id="1776056381">
                      <w:marLeft w:val="0"/>
                      <w:marRight w:val="0"/>
                      <w:marTop w:val="0"/>
                      <w:marBottom w:val="0"/>
                      <w:divBdr>
                        <w:top w:val="none" w:sz="0" w:space="0" w:color="auto"/>
                        <w:left w:val="none" w:sz="0" w:space="0" w:color="auto"/>
                        <w:bottom w:val="none" w:sz="0" w:space="0" w:color="auto"/>
                        <w:right w:val="none" w:sz="0" w:space="0" w:color="auto"/>
                      </w:divBdr>
                    </w:div>
                  </w:divsChild>
                </w:div>
                <w:div w:id="1812165132">
                  <w:marLeft w:val="0"/>
                  <w:marRight w:val="0"/>
                  <w:marTop w:val="0"/>
                  <w:marBottom w:val="0"/>
                  <w:divBdr>
                    <w:top w:val="none" w:sz="0" w:space="0" w:color="auto"/>
                    <w:left w:val="none" w:sz="0" w:space="0" w:color="auto"/>
                    <w:bottom w:val="none" w:sz="0" w:space="0" w:color="auto"/>
                    <w:right w:val="none" w:sz="0" w:space="0" w:color="auto"/>
                  </w:divBdr>
                  <w:divsChild>
                    <w:div w:id="292254574">
                      <w:marLeft w:val="0"/>
                      <w:marRight w:val="0"/>
                      <w:marTop w:val="0"/>
                      <w:marBottom w:val="0"/>
                      <w:divBdr>
                        <w:top w:val="none" w:sz="0" w:space="0" w:color="auto"/>
                        <w:left w:val="none" w:sz="0" w:space="0" w:color="auto"/>
                        <w:bottom w:val="none" w:sz="0" w:space="0" w:color="auto"/>
                        <w:right w:val="none" w:sz="0" w:space="0" w:color="auto"/>
                      </w:divBdr>
                    </w:div>
                  </w:divsChild>
                </w:div>
                <w:div w:id="1826890617">
                  <w:marLeft w:val="0"/>
                  <w:marRight w:val="0"/>
                  <w:marTop w:val="0"/>
                  <w:marBottom w:val="0"/>
                  <w:divBdr>
                    <w:top w:val="none" w:sz="0" w:space="0" w:color="auto"/>
                    <w:left w:val="none" w:sz="0" w:space="0" w:color="auto"/>
                    <w:bottom w:val="none" w:sz="0" w:space="0" w:color="auto"/>
                    <w:right w:val="none" w:sz="0" w:space="0" w:color="auto"/>
                  </w:divBdr>
                  <w:divsChild>
                    <w:div w:id="1529753259">
                      <w:marLeft w:val="0"/>
                      <w:marRight w:val="0"/>
                      <w:marTop w:val="0"/>
                      <w:marBottom w:val="0"/>
                      <w:divBdr>
                        <w:top w:val="none" w:sz="0" w:space="0" w:color="auto"/>
                        <w:left w:val="none" w:sz="0" w:space="0" w:color="auto"/>
                        <w:bottom w:val="none" w:sz="0" w:space="0" w:color="auto"/>
                        <w:right w:val="none" w:sz="0" w:space="0" w:color="auto"/>
                      </w:divBdr>
                    </w:div>
                  </w:divsChild>
                </w:div>
                <w:div w:id="1891651055">
                  <w:marLeft w:val="0"/>
                  <w:marRight w:val="0"/>
                  <w:marTop w:val="0"/>
                  <w:marBottom w:val="0"/>
                  <w:divBdr>
                    <w:top w:val="none" w:sz="0" w:space="0" w:color="auto"/>
                    <w:left w:val="none" w:sz="0" w:space="0" w:color="auto"/>
                    <w:bottom w:val="none" w:sz="0" w:space="0" w:color="auto"/>
                    <w:right w:val="none" w:sz="0" w:space="0" w:color="auto"/>
                  </w:divBdr>
                  <w:divsChild>
                    <w:div w:id="2004235544">
                      <w:marLeft w:val="0"/>
                      <w:marRight w:val="0"/>
                      <w:marTop w:val="0"/>
                      <w:marBottom w:val="0"/>
                      <w:divBdr>
                        <w:top w:val="none" w:sz="0" w:space="0" w:color="auto"/>
                        <w:left w:val="none" w:sz="0" w:space="0" w:color="auto"/>
                        <w:bottom w:val="none" w:sz="0" w:space="0" w:color="auto"/>
                        <w:right w:val="none" w:sz="0" w:space="0" w:color="auto"/>
                      </w:divBdr>
                    </w:div>
                  </w:divsChild>
                </w:div>
                <w:div w:id="1902596092">
                  <w:marLeft w:val="0"/>
                  <w:marRight w:val="0"/>
                  <w:marTop w:val="0"/>
                  <w:marBottom w:val="0"/>
                  <w:divBdr>
                    <w:top w:val="none" w:sz="0" w:space="0" w:color="auto"/>
                    <w:left w:val="none" w:sz="0" w:space="0" w:color="auto"/>
                    <w:bottom w:val="none" w:sz="0" w:space="0" w:color="auto"/>
                    <w:right w:val="none" w:sz="0" w:space="0" w:color="auto"/>
                  </w:divBdr>
                  <w:divsChild>
                    <w:div w:id="1390149778">
                      <w:marLeft w:val="0"/>
                      <w:marRight w:val="0"/>
                      <w:marTop w:val="0"/>
                      <w:marBottom w:val="0"/>
                      <w:divBdr>
                        <w:top w:val="none" w:sz="0" w:space="0" w:color="auto"/>
                        <w:left w:val="none" w:sz="0" w:space="0" w:color="auto"/>
                        <w:bottom w:val="none" w:sz="0" w:space="0" w:color="auto"/>
                        <w:right w:val="none" w:sz="0" w:space="0" w:color="auto"/>
                      </w:divBdr>
                    </w:div>
                  </w:divsChild>
                </w:div>
                <w:div w:id="1961494349">
                  <w:marLeft w:val="0"/>
                  <w:marRight w:val="0"/>
                  <w:marTop w:val="0"/>
                  <w:marBottom w:val="0"/>
                  <w:divBdr>
                    <w:top w:val="none" w:sz="0" w:space="0" w:color="auto"/>
                    <w:left w:val="none" w:sz="0" w:space="0" w:color="auto"/>
                    <w:bottom w:val="none" w:sz="0" w:space="0" w:color="auto"/>
                    <w:right w:val="none" w:sz="0" w:space="0" w:color="auto"/>
                  </w:divBdr>
                  <w:divsChild>
                    <w:div w:id="590970768">
                      <w:marLeft w:val="0"/>
                      <w:marRight w:val="0"/>
                      <w:marTop w:val="0"/>
                      <w:marBottom w:val="0"/>
                      <w:divBdr>
                        <w:top w:val="none" w:sz="0" w:space="0" w:color="auto"/>
                        <w:left w:val="none" w:sz="0" w:space="0" w:color="auto"/>
                        <w:bottom w:val="none" w:sz="0" w:space="0" w:color="auto"/>
                        <w:right w:val="none" w:sz="0" w:space="0" w:color="auto"/>
                      </w:divBdr>
                    </w:div>
                  </w:divsChild>
                </w:div>
                <w:div w:id="1973321421">
                  <w:marLeft w:val="0"/>
                  <w:marRight w:val="0"/>
                  <w:marTop w:val="0"/>
                  <w:marBottom w:val="0"/>
                  <w:divBdr>
                    <w:top w:val="none" w:sz="0" w:space="0" w:color="auto"/>
                    <w:left w:val="none" w:sz="0" w:space="0" w:color="auto"/>
                    <w:bottom w:val="none" w:sz="0" w:space="0" w:color="auto"/>
                    <w:right w:val="none" w:sz="0" w:space="0" w:color="auto"/>
                  </w:divBdr>
                  <w:divsChild>
                    <w:div w:id="226646402">
                      <w:marLeft w:val="0"/>
                      <w:marRight w:val="0"/>
                      <w:marTop w:val="0"/>
                      <w:marBottom w:val="0"/>
                      <w:divBdr>
                        <w:top w:val="none" w:sz="0" w:space="0" w:color="auto"/>
                        <w:left w:val="none" w:sz="0" w:space="0" w:color="auto"/>
                        <w:bottom w:val="none" w:sz="0" w:space="0" w:color="auto"/>
                        <w:right w:val="none" w:sz="0" w:space="0" w:color="auto"/>
                      </w:divBdr>
                    </w:div>
                  </w:divsChild>
                </w:div>
                <w:div w:id="1996568567">
                  <w:marLeft w:val="0"/>
                  <w:marRight w:val="0"/>
                  <w:marTop w:val="0"/>
                  <w:marBottom w:val="0"/>
                  <w:divBdr>
                    <w:top w:val="none" w:sz="0" w:space="0" w:color="auto"/>
                    <w:left w:val="none" w:sz="0" w:space="0" w:color="auto"/>
                    <w:bottom w:val="none" w:sz="0" w:space="0" w:color="auto"/>
                    <w:right w:val="none" w:sz="0" w:space="0" w:color="auto"/>
                  </w:divBdr>
                  <w:divsChild>
                    <w:div w:id="1176766875">
                      <w:marLeft w:val="0"/>
                      <w:marRight w:val="0"/>
                      <w:marTop w:val="0"/>
                      <w:marBottom w:val="0"/>
                      <w:divBdr>
                        <w:top w:val="none" w:sz="0" w:space="0" w:color="auto"/>
                        <w:left w:val="none" w:sz="0" w:space="0" w:color="auto"/>
                        <w:bottom w:val="none" w:sz="0" w:space="0" w:color="auto"/>
                        <w:right w:val="none" w:sz="0" w:space="0" w:color="auto"/>
                      </w:divBdr>
                    </w:div>
                  </w:divsChild>
                </w:div>
                <w:div w:id="2064518732">
                  <w:marLeft w:val="0"/>
                  <w:marRight w:val="0"/>
                  <w:marTop w:val="0"/>
                  <w:marBottom w:val="0"/>
                  <w:divBdr>
                    <w:top w:val="none" w:sz="0" w:space="0" w:color="auto"/>
                    <w:left w:val="none" w:sz="0" w:space="0" w:color="auto"/>
                    <w:bottom w:val="none" w:sz="0" w:space="0" w:color="auto"/>
                    <w:right w:val="none" w:sz="0" w:space="0" w:color="auto"/>
                  </w:divBdr>
                  <w:divsChild>
                    <w:div w:id="1571303454">
                      <w:marLeft w:val="0"/>
                      <w:marRight w:val="0"/>
                      <w:marTop w:val="0"/>
                      <w:marBottom w:val="0"/>
                      <w:divBdr>
                        <w:top w:val="none" w:sz="0" w:space="0" w:color="auto"/>
                        <w:left w:val="none" w:sz="0" w:space="0" w:color="auto"/>
                        <w:bottom w:val="none" w:sz="0" w:space="0" w:color="auto"/>
                        <w:right w:val="none" w:sz="0" w:space="0" w:color="auto"/>
                      </w:divBdr>
                    </w:div>
                  </w:divsChild>
                </w:div>
                <w:div w:id="2086997919">
                  <w:marLeft w:val="0"/>
                  <w:marRight w:val="0"/>
                  <w:marTop w:val="0"/>
                  <w:marBottom w:val="0"/>
                  <w:divBdr>
                    <w:top w:val="none" w:sz="0" w:space="0" w:color="auto"/>
                    <w:left w:val="none" w:sz="0" w:space="0" w:color="auto"/>
                    <w:bottom w:val="none" w:sz="0" w:space="0" w:color="auto"/>
                    <w:right w:val="none" w:sz="0" w:space="0" w:color="auto"/>
                  </w:divBdr>
                  <w:divsChild>
                    <w:div w:id="1411660504">
                      <w:marLeft w:val="0"/>
                      <w:marRight w:val="0"/>
                      <w:marTop w:val="0"/>
                      <w:marBottom w:val="0"/>
                      <w:divBdr>
                        <w:top w:val="none" w:sz="0" w:space="0" w:color="auto"/>
                        <w:left w:val="none" w:sz="0" w:space="0" w:color="auto"/>
                        <w:bottom w:val="none" w:sz="0" w:space="0" w:color="auto"/>
                        <w:right w:val="none" w:sz="0" w:space="0" w:color="auto"/>
                      </w:divBdr>
                    </w:div>
                  </w:divsChild>
                </w:div>
                <w:div w:id="2118865716">
                  <w:marLeft w:val="0"/>
                  <w:marRight w:val="0"/>
                  <w:marTop w:val="0"/>
                  <w:marBottom w:val="0"/>
                  <w:divBdr>
                    <w:top w:val="none" w:sz="0" w:space="0" w:color="auto"/>
                    <w:left w:val="none" w:sz="0" w:space="0" w:color="auto"/>
                    <w:bottom w:val="none" w:sz="0" w:space="0" w:color="auto"/>
                    <w:right w:val="none" w:sz="0" w:space="0" w:color="auto"/>
                  </w:divBdr>
                  <w:divsChild>
                    <w:div w:id="9183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1631">
          <w:marLeft w:val="0"/>
          <w:marRight w:val="0"/>
          <w:marTop w:val="0"/>
          <w:marBottom w:val="0"/>
          <w:divBdr>
            <w:top w:val="none" w:sz="0" w:space="0" w:color="auto"/>
            <w:left w:val="none" w:sz="0" w:space="0" w:color="auto"/>
            <w:bottom w:val="none" w:sz="0" w:space="0" w:color="auto"/>
            <w:right w:val="none" w:sz="0" w:space="0" w:color="auto"/>
          </w:divBdr>
        </w:div>
        <w:div w:id="960695105">
          <w:marLeft w:val="0"/>
          <w:marRight w:val="0"/>
          <w:marTop w:val="0"/>
          <w:marBottom w:val="0"/>
          <w:divBdr>
            <w:top w:val="none" w:sz="0" w:space="0" w:color="auto"/>
            <w:left w:val="none" w:sz="0" w:space="0" w:color="auto"/>
            <w:bottom w:val="none" w:sz="0" w:space="0" w:color="auto"/>
            <w:right w:val="none" w:sz="0" w:space="0" w:color="auto"/>
          </w:divBdr>
        </w:div>
        <w:div w:id="1036345865">
          <w:marLeft w:val="0"/>
          <w:marRight w:val="0"/>
          <w:marTop w:val="0"/>
          <w:marBottom w:val="0"/>
          <w:divBdr>
            <w:top w:val="none" w:sz="0" w:space="0" w:color="auto"/>
            <w:left w:val="none" w:sz="0" w:space="0" w:color="auto"/>
            <w:bottom w:val="none" w:sz="0" w:space="0" w:color="auto"/>
            <w:right w:val="none" w:sz="0" w:space="0" w:color="auto"/>
          </w:divBdr>
        </w:div>
        <w:div w:id="1063217602">
          <w:marLeft w:val="0"/>
          <w:marRight w:val="0"/>
          <w:marTop w:val="0"/>
          <w:marBottom w:val="0"/>
          <w:divBdr>
            <w:top w:val="none" w:sz="0" w:space="0" w:color="auto"/>
            <w:left w:val="none" w:sz="0" w:space="0" w:color="auto"/>
            <w:bottom w:val="none" w:sz="0" w:space="0" w:color="auto"/>
            <w:right w:val="none" w:sz="0" w:space="0" w:color="auto"/>
          </w:divBdr>
        </w:div>
        <w:div w:id="1104492936">
          <w:marLeft w:val="0"/>
          <w:marRight w:val="0"/>
          <w:marTop w:val="0"/>
          <w:marBottom w:val="0"/>
          <w:divBdr>
            <w:top w:val="none" w:sz="0" w:space="0" w:color="auto"/>
            <w:left w:val="none" w:sz="0" w:space="0" w:color="auto"/>
            <w:bottom w:val="none" w:sz="0" w:space="0" w:color="auto"/>
            <w:right w:val="none" w:sz="0" w:space="0" w:color="auto"/>
          </w:divBdr>
        </w:div>
        <w:div w:id="1193304736">
          <w:marLeft w:val="0"/>
          <w:marRight w:val="0"/>
          <w:marTop w:val="0"/>
          <w:marBottom w:val="0"/>
          <w:divBdr>
            <w:top w:val="none" w:sz="0" w:space="0" w:color="auto"/>
            <w:left w:val="none" w:sz="0" w:space="0" w:color="auto"/>
            <w:bottom w:val="none" w:sz="0" w:space="0" w:color="auto"/>
            <w:right w:val="none" w:sz="0" w:space="0" w:color="auto"/>
          </w:divBdr>
        </w:div>
        <w:div w:id="1762337427">
          <w:marLeft w:val="0"/>
          <w:marRight w:val="0"/>
          <w:marTop w:val="0"/>
          <w:marBottom w:val="0"/>
          <w:divBdr>
            <w:top w:val="none" w:sz="0" w:space="0" w:color="auto"/>
            <w:left w:val="none" w:sz="0" w:space="0" w:color="auto"/>
            <w:bottom w:val="none" w:sz="0" w:space="0" w:color="auto"/>
            <w:right w:val="none" w:sz="0" w:space="0" w:color="auto"/>
          </w:divBdr>
        </w:div>
      </w:divsChild>
    </w:div>
    <w:div w:id="1450315926">
      <w:bodyDiv w:val="1"/>
      <w:marLeft w:val="0"/>
      <w:marRight w:val="0"/>
      <w:marTop w:val="0"/>
      <w:marBottom w:val="0"/>
      <w:divBdr>
        <w:top w:val="none" w:sz="0" w:space="0" w:color="auto"/>
        <w:left w:val="none" w:sz="0" w:space="0" w:color="auto"/>
        <w:bottom w:val="none" w:sz="0" w:space="0" w:color="auto"/>
        <w:right w:val="none" w:sz="0" w:space="0" w:color="auto"/>
      </w:divBdr>
      <w:divsChild>
        <w:div w:id="336225820">
          <w:marLeft w:val="0"/>
          <w:marRight w:val="0"/>
          <w:marTop w:val="0"/>
          <w:marBottom w:val="0"/>
          <w:divBdr>
            <w:top w:val="none" w:sz="0" w:space="0" w:color="auto"/>
            <w:left w:val="none" w:sz="0" w:space="0" w:color="auto"/>
            <w:bottom w:val="none" w:sz="0" w:space="0" w:color="auto"/>
            <w:right w:val="none" w:sz="0" w:space="0" w:color="auto"/>
          </w:divBdr>
        </w:div>
        <w:div w:id="568271921">
          <w:marLeft w:val="0"/>
          <w:marRight w:val="0"/>
          <w:marTop w:val="0"/>
          <w:marBottom w:val="0"/>
          <w:divBdr>
            <w:top w:val="none" w:sz="0" w:space="0" w:color="auto"/>
            <w:left w:val="none" w:sz="0" w:space="0" w:color="auto"/>
            <w:bottom w:val="none" w:sz="0" w:space="0" w:color="auto"/>
            <w:right w:val="none" w:sz="0" w:space="0" w:color="auto"/>
          </w:divBdr>
        </w:div>
        <w:div w:id="703017723">
          <w:marLeft w:val="0"/>
          <w:marRight w:val="0"/>
          <w:marTop w:val="0"/>
          <w:marBottom w:val="0"/>
          <w:divBdr>
            <w:top w:val="none" w:sz="0" w:space="0" w:color="auto"/>
            <w:left w:val="none" w:sz="0" w:space="0" w:color="auto"/>
            <w:bottom w:val="none" w:sz="0" w:space="0" w:color="auto"/>
            <w:right w:val="none" w:sz="0" w:space="0" w:color="auto"/>
          </w:divBdr>
        </w:div>
        <w:div w:id="739906454">
          <w:marLeft w:val="0"/>
          <w:marRight w:val="0"/>
          <w:marTop w:val="0"/>
          <w:marBottom w:val="0"/>
          <w:divBdr>
            <w:top w:val="none" w:sz="0" w:space="0" w:color="auto"/>
            <w:left w:val="none" w:sz="0" w:space="0" w:color="auto"/>
            <w:bottom w:val="none" w:sz="0" w:space="0" w:color="auto"/>
            <w:right w:val="none" w:sz="0" w:space="0" w:color="auto"/>
          </w:divBdr>
        </w:div>
        <w:div w:id="968978391">
          <w:marLeft w:val="0"/>
          <w:marRight w:val="0"/>
          <w:marTop w:val="0"/>
          <w:marBottom w:val="0"/>
          <w:divBdr>
            <w:top w:val="none" w:sz="0" w:space="0" w:color="auto"/>
            <w:left w:val="none" w:sz="0" w:space="0" w:color="auto"/>
            <w:bottom w:val="none" w:sz="0" w:space="0" w:color="auto"/>
            <w:right w:val="none" w:sz="0" w:space="0" w:color="auto"/>
          </w:divBdr>
        </w:div>
        <w:div w:id="1602448593">
          <w:marLeft w:val="0"/>
          <w:marRight w:val="0"/>
          <w:marTop w:val="0"/>
          <w:marBottom w:val="0"/>
          <w:divBdr>
            <w:top w:val="none" w:sz="0" w:space="0" w:color="auto"/>
            <w:left w:val="none" w:sz="0" w:space="0" w:color="auto"/>
            <w:bottom w:val="none" w:sz="0" w:space="0" w:color="auto"/>
            <w:right w:val="none" w:sz="0" w:space="0" w:color="auto"/>
          </w:divBdr>
        </w:div>
        <w:div w:id="1661805814">
          <w:marLeft w:val="0"/>
          <w:marRight w:val="0"/>
          <w:marTop w:val="0"/>
          <w:marBottom w:val="0"/>
          <w:divBdr>
            <w:top w:val="none" w:sz="0" w:space="0" w:color="auto"/>
            <w:left w:val="none" w:sz="0" w:space="0" w:color="auto"/>
            <w:bottom w:val="none" w:sz="0" w:space="0" w:color="auto"/>
            <w:right w:val="none" w:sz="0" w:space="0" w:color="auto"/>
          </w:divBdr>
        </w:div>
        <w:div w:id="1885408308">
          <w:marLeft w:val="0"/>
          <w:marRight w:val="0"/>
          <w:marTop w:val="0"/>
          <w:marBottom w:val="0"/>
          <w:divBdr>
            <w:top w:val="none" w:sz="0" w:space="0" w:color="auto"/>
            <w:left w:val="none" w:sz="0" w:space="0" w:color="auto"/>
            <w:bottom w:val="none" w:sz="0" w:space="0" w:color="auto"/>
            <w:right w:val="none" w:sz="0" w:space="0" w:color="auto"/>
          </w:divBdr>
        </w:div>
        <w:div w:id="2106808065">
          <w:marLeft w:val="0"/>
          <w:marRight w:val="0"/>
          <w:marTop w:val="0"/>
          <w:marBottom w:val="0"/>
          <w:divBdr>
            <w:top w:val="none" w:sz="0" w:space="0" w:color="auto"/>
            <w:left w:val="none" w:sz="0" w:space="0" w:color="auto"/>
            <w:bottom w:val="none" w:sz="0" w:space="0" w:color="auto"/>
            <w:right w:val="none" w:sz="0" w:space="0" w:color="auto"/>
          </w:divBdr>
          <w:divsChild>
            <w:div w:id="92869263">
              <w:marLeft w:val="-75"/>
              <w:marRight w:val="0"/>
              <w:marTop w:val="30"/>
              <w:marBottom w:val="30"/>
              <w:divBdr>
                <w:top w:val="none" w:sz="0" w:space="0" w:color="auto"/>
                <w:left w:val="none" w:sz="0" w:space="0" w:color="auto"/>
                <w:bottom w:val="none" w:sz="0" w:space="0" w:color="auto"/>
                <w:right w:val="none" w:sz="0" w:space="0" w:color="auto"/>
              </w:divBdr>
              <w:divsChild>
                <w:div w:id="93600978">
                  <w:marLeft w:val="0"/>
                  <w:marRight w:val="0"/>
                  <w:marTop w:val="0"/>
                  <w:marBottom w:val="0"/>
                  <w:divBdr>
                    <w:top w:val="none" w:sz="0" w:space="0" w:color="auto"/>
                    <w:left w:val="none" w:sz="0" w:space="0" w:color="auto"/>
                    <w:bottom w:val="none" w:sz="0" w:space="0" w:color="auto"/>
                    <w:right w:val="none" w:sz="0" w:space="0" w:color="auto"/>
                  </w:divBdr>
                  <w:divsChild>
                    <w:div w:id="1117144389">
                      <w:marLeft w:val="0"/>
                      <w:marRight w:val="0"/>
                      <w:marTop w:val="0"/>
                      <w:marBottom w:val="0"/>
                      <w:divBdr>
                        <w:top w:val="none" w:sz="0" w:space="0" w:color="auto"/>
                        <w:left w:val="none" w:sz="0" w:space="0" w:color="auto"/>
                        <w:bottom w:val="none" w:sz="0" w:space="0" w:color="auto"/>
                        <w:right w:val="none" w:sz="0" w:space="0" w:color="auto"/>
                      </w:divBdr>
                    </w:div>
                  </w:divsChild>
                </w:div>
                <w:div w:id="199123861">
                  <w:marLeft w:val="0"/>
                  <w:marRight w:val="0"/>
                  <w:marTop w:val="0"/>
                  <w:marBottom w:val="0"/>
                  <w:divBdr>
                    <w:top w:val="none" w:sz="0" w:space="0" w:color="auto"/>
                    <w:left w:val="none" w:sz="0" w:space="0" w:color="auto"/>
                    <w:bottom w:val="none" w:sz="0" w:space="0" w:color="auto"/>
                    <w:right w:val="none" w:sz="0" w:space="0" w:color="auto"/>
                  </w:divBdr>
                  <w:divsChild>
                    <w:div w:id="293828650">
                      <w:marLeft w:val="0"/>
                      <w:marRight w:val="0"/>
                      <w:marTop w:val="0"/>
                      <w:marBottom w:val="0"/>
                      <w:divBdr>
                        <w:top w:val="none" w:sz="0" w:space="0" w:color="auto"/>
                        <w:left w:val="none" w:sz="0" w:space="0" w:color="auto"/>
                        <w:bottom w:val="none" w:sz="0" w:space="0" w:color="auto"/>
                        <w:right w:val="none" w:sz="0" w:space="0" w:color="auto"/>
                      </w:divBdr>
                    </w:div>
                  </w:divsChild>
                </w:div>
                <w:div w:id="208809671">
                  <w:marLeft w:val="0"/>
                  <w:marRight w:val="0"/>
                  <w:marTop w:val="0"/>
                  <w:marBottom w:val="0"/>
                  <w:divBdr>
                    <w:top w:val="none" w:sz="0" w:space="0" w:color="auto"/>
                    <w:left w:val="none" w:sz="0" w:space="0" w:color="auto"/>
                    <w:bottom w:val="none" w:sz="0" w:space="0" w:color="auto"/>
                    <w:right w:val="none" w:sz="0" w:space="0" w:color="auto"/>
                  </w:divBdr>
                  <w:divsChild>
                    <w:div w:id="738089170">
                      <w:marLeft w:val="0"/>
                      <w:marRight w:val="0"/>
                      <w:marTop w:val="0"/>
                      <w:marBottom w:val="0"/>
                      <w:divBdr>
                        <w:top w:val="none" w:sz="0" w:space="0" w:color="auto"/>
                        <w:left w:val="none" w:sz="0" w:space="0" w:color="auto"/>
                        <w:bottom w:val="none" w:sz="0" w:space="0" w:color="auto"/>
                        <w:right w:val="none" w:sz="0" w:space="0" w:color="auto"/>
                      </w:divBdr>
                    </w:div>
                  </w:divsChild>
                </w:div>
                <w:div w:id="328532163">
                  <w:marLeft w:val="0"/>
                  <w:marRight w:val="0"/>
                  <w:marTop w:val="0"/>
                  <w:marBottom w:val="0"/>
                  <w:divBdr>
                    <w:top w:val="none" w:sz="0" w:space="0" w:color="auto"/>
                    <w:left w:val="none" w:sz="0" w:space="0" w:color="auto"/>
                    <w:bottom w:val="none" w:sz="0" w:space="0" w:color="auto"/>
                    <w:right w:val="none" w:sz="0" w:space="0" w:color="auto"/>
                  </w:divBdr>
                  <w:divsChild>
                    <w:div w:id="871067219">
                      <w:marLeft w:val="0"/>
                      <w:marRight w:val="0"/>
                      <w:marTop w:val="0"/>
                      <w:marBottom w:val="0"/>
                      <w:divBdr>
                        <w:top w:val="none" w:sz="0" w:space="0" w:color="auto"/>
                        <w:left w:val="none" w:sz="0" w:space="0" w:color="auto"/>
                        <w:bottom w:val="none" w:sz="0" w:space="0" w:color="auto"/>
                        <w:right w:val="none" w:sz="0" w:space="0" w:color="auto"/>
                      </w:divBdr>
                    </w:div>
                  </w:divsChild>
                </w:div>
                <w:div w:id="328564467">
                  <w:marLeft w:val="0"/>
                  <w:marRight w:val="0"/>
                  <w:marTop w:val="0"/>
                  <w:marBottom w:val="0"/>
                  <w:divBdr>
                    <w:top w:val="none" w:sz="0" w:space="0" w:color="auto"/>
                    <w:left w:val="none" w:sz="0" w:space="0" w:color="auto"/>
                    <w:bottom w:val="none" w:sz="0" w:space="0" w:color="auto"/>
                    <w:right w:val="none" w:sz="0" w:space="0" w:color="auto"/>
                  </w:divBdr>
                  <w:divsChild>
                    <w:div w:id="1615751489">
                      <w:marLeft w:val="0"/>
                      <w:marRight w:val="0"/>
                      <w:marTop w:val="0"/>
                      <w:marBottom w:val="0"/>
                      <w:divBdr>
                        <w:top w:val="none" w:sz="0" w:space="0" w:color="auto"/>
                        <w:left w:val="none" w:sz="0" w:space="0" w:color="auto"/>
                        <w:bottom w:val="none" w:sz="0" w:space="0" w:color="auto"/>
                        <w:right w:val="none" w:sz="0" w:space="0" w:color="auto"/>
                      </w:divBdr>
                    </w:div>
                  </w:divsChild>
                </w:div>
                <w:div w:id="340396119">
                  <w:marLeft w:val="0"/>
                  <w:marRight w:val="0"/>
                  <w:marTop w:val="0"/>
                  <w:marBottom w:val="0"/>
                  <w:divBdr>
                    <w:top w:val="none" w:sz="0" w:space="0" w:color="auto"/>
                    <w:left w:val="none" w:sz="0" w:space="0" w:color="auto"/>
                    <w:bottom w:val="none" w:sz="0" w:space="0" w:color="auto"/>
                    <w:right w:val="none" w:sz="0" w:space="0" w:color="auto"/>
                  </w:divBdr>
                  <w:divsChild>
                    <w:div w:id="624851623">
                      <w:marLeft w:val="0"/>
                      <w:marRight w:val="0"/>
                      <w:marTop w:val="0"/>
                      <w:marBottom w:val="0"/>
                      <w:divBdr>
                        <w:top w:val="none" w:sz="0" w:space="0" w:color="auto"/>
                        <w:left w:val="none" w:sz="0" w:space="0" w:color="auto"/>
                        <w:bottom w:val="none" w:sz="0" w:space="0" w:color="auto"/>
                        <w:right w:val="none" w:sz="0" w:space="0" w:color="auto"/>
                      </w:divBdr>
                    </w:div>
                  </w:divsChild>
                </w:div>
                <w:div w:id="395595727">
                  <w:marLeft w:val="0"/>
                  <w:marRight w:val="0"/>
                  <w:marTop w:val="0"/>
                  <w:marBottom w:val="0"/>
                  <w:divBdr>
                    <w:top w:val="none" w:sz="0" w:space="0" w:color="auto"/>
                    <w:left w:val="none" w:sz="0" w:space="0" w:color="auto"/>
                    <w:bottom w:val="none" w:sz="0" w:space="0" w:color="auto"/>
                    <w:right w:val="none" w:sz="0" w:space="0" w:color="auto"/>
                  </w:divBdr>
                  <w:divsChild>
                    <w:div w:id="820804320">
                      <w:marLeft w:val="0"/>
                      <w:marRight w:val="0"/>
                      <w:marTop w:val="0"/>
                      <w:marBottom w:val="0"/>
                      <w:divBdr>
                        <w:top w:val="none" w:sz="0" w:space="0" w:color="auto"/>
                        <w:left w:val="none" w:sz="0" w:space="0" w:color="auto"/>
                        <w:bottom w:val="none" w:sz="0" w:space="0" w:color="auto"/>
                        <w:right w:val="none" w:sz="0" w:space="0" w:color="auto"/>
                      </w:divBdr>
                    </w:div>
                  </w:divsChild>
                </w:div>
                <w:div w:id="483741563">
                  <w:marLeft w:val="0"/>
                  <w:marRight w:val="0"/>
                  <w:marTop w:val="0"/>
                  <w:marBottom w:val="0"/>
                  <w:divBdr>
                    <w:top w:val="none" w:sz="0" w:space="0" w:color="auto"/>
                    <w:left w:val="none" w:sz="0" w:space="0" w:color="auto"/>
                    <w:bottom w:val="none" w:sz="0" w:space="0" w:color="auto"/>
                    <w:right w:val="none" w:sz="0" w:space="0" w:color="auto"/>
                  </w:divBdr>
                  <w:divsChild>
                    <w:div w:id="423965727">
                      <w:marLeft w:val="0"/>
                      <w:marRight w:val="0"/>
                      <w:marTop w:val="0"/>
                      <w:marBottom w:val="0"/>
                      <w:divBdr>
                        <w:top w:val="none" w:sz="0" w:space="0" w:color="auto"/>
                        <w:left w:val="none" w:sz="0" w:space="0" w:color="auto"/>
                        <w:bottom w:val="none" w:sz="0" w:space="0" w:color="auto"/>
                        <w:right w:val="none" w:sz="0" w:space="0" w:color="auto"/>
                      </w:divBdr>
                    </w:div>
                  </w:divsChild>
                </w:div>
                <w:div w:id="566964267">
                  <w:marLeft w:val="0"/>
                  <w:marRight w:val="0"/>
                  <w:marTop w:val="0"/>
                  <w:marBottom w:val="0"/>
                  <w:divBdr>
                    <w:top w:val="none" w:sz="0" w:space="0" w:color="auto"/>
                    <w:left w:val="none" w:sz="0" w:space="0" w:color="auto"/>
                    <w:bottom w:val="none" w:sz="0" w:space="0" w:color="auto"/>
                    <w:right w:val="none" w:sz="0" w:space="0" w:color="auto"/>
                  </w:divBdr>
                  <w:divsChild>
                    <w:div w:id="547961954">
                      <w:marLeft w:val="0"/>
                      <w:marRight w:val="0"/>
                      <w:marTop w:val="0"/>
                      <w:marBottom w:val="0"/>
                      <w:divBdr>
                        <w:top w:val="none" w:sz="0" w:space="0" w:color="auto"/>
                        <w:left w:val="none" w:sz="0" w:space="0" w:color="auto"/>
                        <w:bottom w:val="none" w:sz="0" w:space="0" w:color="auto"/>
                        <w:right w:val="none" w:sz="0" w:space="0" w:color="auto"/>
                      </w:divBdr>
                    </w:div>
                  </w:divsChild>
                </w:div>
                <w:div w:id="573394150">
                  <w:marLeft w:val="0"/>
                  <w:marRight w:val="0"/>
                  <w:marTop w:val="0"/>
                  <w:marBottom w:val="0"/>
                  <w:divBdr>
                    <w:top w:val="none" w:sz="0" w:space="0" w:color="auto"/>
                    <w:left w:val="none" w:sz="0" w:space="0" w:color="auto"/>
                    <w:bottom w:val="none" w:sz="0" w:space="0" w:color="auto"/>
                    <w:right w:val="none" w:sz="0" w:space="0" w:color="auto"/>
                  </w:divBdr>
                  <w:divsChild>
                    <w:div w:id="1923375352">
                      <w:marLeft w:val="0"/>
                      <w:marRight w:val="0"/>
                      <w:marTop w:val="0"/>
                      <w:marBottom w:val="0"/>
                      <w:divBdr>
                        <w:top w:val="none" w:sz="0" w:space="0" w:color="auto"/>
                        <w:left w:val="none" w:sz="0" w:space="0" w:color="auto"/>
                        <w:bottom w:val="none" w:sz="0" w:space="0" w:color="auto"/>
                        <w:right w:val="none" w:sz="0" w:space="0" w:color="auto"/>
                      </w:divBdr>
                    </w:div>
                  </w:divsChild>
                </w:div>
                <w:div w:id="597560523">
                  <w:marLeft w:val="0"/>
                  <w:marRight w:val="0"/>
                  <w:marTop w:val="0"/>
                  <w:marBottom w:val="0"/>
                  <w:divBdr>
                    <w:top w:val="none" w:sz="0" w:space="0" w:color="auto"/>
                    <w:left w:val="none" w:sz="0" w:space="0" w:color="auto"/>
                    <w:bottom w:val="none" w:sz="0" w:space="0" w:color="auto"/>
                    <w:right w:val="none" w:sz="0" w:space="0" w:color="auto"/>
                  </w:divBdr>
                  <w:divsChild>
                    <w:div w:id="1377856374">
                      <w:marLeft w:val="0"/>
                      <w:marRight w:val="0"/>
                      <w:marTop w:val="0"/>
                      <w:marBottom w:val="0"/>
                      <w:divBdr>
                        <w:top w:val="none" w:sz="0" w:space="0" w:color="auto"/>
                        <w:left w:val="none" w:sz="0" w:space="0" w:color="auto"/>
                        <w:bottom w:val="none" w:sz="0" w:space="0" w:color="auto"/>
                        <w:right w:val="none" w:sz="0" w:space="0" w:color="auto"/>
                      </w:divBdr>
                    </w:div>
                  </w:divsChild>
                </w:div>
                <w:div w:id="603995084">
                  <w:marLeft w:val="0"/>
                  <w:marRight w:val="0"/>
                  <w:marTop w:val="0"/>
                  <w:marBottom w:val="0"/>
                  <w:divBdr>
                    <w:top w:val="none" w:sz="0" w:space="0" w:color="auto"/>
                    <w:left w:val="none" w:sz="0" w:space="0" w:color="auto"/>
                    <w:bottom w:val="none" w:sz="0" w:space="0" w:color="auto"/>
                    <w:right w:val="none" w:sz="0" w:space="0" w:color="auto"/>
                  </w:divBdr>
                  <w:divsChild>
                    <w:div w:id="853613170">
                      <w:marLeft w:val="0"/>
                      <w:marRight w:val="0"/>
                      <w:marTop w:val="0"/>
                      <w:marBottom w:val="0"/>
                      <w:divBdr>
                        <w:top w:val="none" w:sz="0" w:space="0" w:color="auto"/>
                        <w:left w:val="none" w:sz="0" w:space="0" w:color="auto"/>
                        <w:bottom w:val="none" w:sz="0" w:space="0" w:color="auto"/>
                        <w:right w:val="none" w:sz="0" w:space="0" w:color="auto"/>
                      </w:divBdr>
                    </w:div>
                  </w:divsChild>
                </w:div>
                <w:div w:id="635647482">
                  <w:marLeft w:val="0"/>
                  <w:marRight w:val="0"/>
                  <w:marTop w:val="0"/>
                  <w:marBottom w:val="0"/>
                  <w:divBdr>
                    <w:top w:val="none" w:sz="0" w:space="0" w:color="auto"/>
                    <w:left w:val="none" w:sz="0" w:space="0" w:color="auto"/>
                    <w:bottom w:val="none" w:sz="0" w:space="0" w:color="auto"/>
                    <w:right w:val="none" w:sz="0" w:space="0" w:color="auto"/>
                  </w:divBdr>
                  <w:divsChild>
                    <w:div w:id="603001575">
                      <w:marLeft w:val="0"/>
                      <w:marRight w:val="0"/>
                      <w:marTop w:val="0"/>
                      <w:marBottom w:val="0"/>
                      <w:divBdr>
                        <w:top w:val="none" w:sz="0" w:space="0" w:color="auto"/>
                        <w:left w:val="none" w:sz="0" w:space="0" w:color="auto"/>
                        <w:bottom w:val="none" w:sz="0" w:space="0" w:color="auto"/>
                        <w:right w:val="none" w:sz="0" w:space="0" w:color="auto"/>
                      </w:divBdr>
                    </w:div>
                  </w:divsChild>
                </w:div>
                <w:div w:id="657927940">
                  <w:marLeft w:val="0"/>
                  <w:marRight w:val="0"/>
                  <w:marTop w:val="0"/>
                  <w:marBottom w:val="0"/>
                  <w:divBdr>
                    <w:top w:val="none" w:sz="0" w:space="0" w:color="auto"/>
                    <w:left w:val="none" w:sz="0" w:space="0" w:color="auto"/>
                    <w:bottom w:val="none" w:sz="0" w:space="0" w:color="auto"/>
                    <w:right w:val="none" w:sz="0" w:space="0" w:color="auto"/>
                  </w:divBdr>
                  <w:divsChild>
                    <w:div w:id="1155294339">
                      <w:marLeft w:val="0"/>
                      <w:marRight w:val="0"/>
                      <w:marTop w:val="0"/>
                      <w:marBottom w:val="0"/>
                      <w:divBdr>
                        <w:top w:val="none" w:sz="0" w:space="0" w:color="auto"/>
                        <w:left w:val="none" w:sz="0" w:space="0" w:color="auto"/>
                        <w:bottom w:val="none" w:sz="0" w:space="0" w:color="auto"/>
                        <w:right w:val="none" w:sz="0" w:space="0" w:color="auto"/>
                      </w:divBdr>
                    </w:div>
                  </w:divsChild>
                </w:div>
                <w:div w:id="665671345">
                  <w:marLeft w:val="0"/>
                  <w:marRight w:val="0"/>
                  <w:marTop w:val="0"/>
                  <w:marBottom w:val="0"/>
                  <w:divBdr>
                    <w:top w:val="none" w:sz="0" w:space="0" w:color="auto"/>
                    <w:left w:val="none" w:sz="0" w:space="0" w:color="auto"/>
                    <w:bottom w:val="none" w:sz="0" w:space="0" w:color="auto"/>
                    <w:right w:val="none" w:sz="0" w:space="0" w:color="auto"/>
                  </w:divBdr>
                  <w:divsChild>
                    <w:div w:id="201553252">
                      <w:marLeft w:val="0"/>
                      <w:marRight w:val="0"/>
                      <w:marTop w:val="0"/>
                      <w:marBottom w:val="0"/>
                      <w:divBdr>
                        <w:top w:val="none" w:sz="0" w:space="0" w:color="auto"/>
                        <w:left w:val="none" w:sz="0" w:space="0" w:color="auto"/>
                        <w:bottom w:val="none" w:sz="0" w:space="0" w:color="auto"/>
                        <w:right w:val="none" w:sz="0" w:space="0" w:color="auto"/>
                      </w:divBdr>
                    </w:div>
                  </w:divsChild>
                </w:div>
                <w:div w:id="714089157">
                  <w:marLeft w:val="0"/>
                  <w:marRight w:val="0"/>
                  <w:marTop w:val="0"/>
                  <w:marBottom w:val="0"/>
                  <w:divBdr>
                    <w:top w:val="none" w:sz="0" w:space="0" w:color="auto"/>
                    <w:left w:val="none" w:sz="0" w:space="0" w:color="auto"/>
                    <w:bottom w:val="none" w:sz="0" w:space="0" w:color="auto"/>
                    <w:right w:val="none" w:sz="0" w:space="0" w:color="auto"/>
                  </w:divBdr>
                  <w:divsChild>
                    <w:div w:id="1111124367">
                      <w:marLeft w:val="0"/>
                      <w:marRight w:val="0"/>
                      <w:marTop w:val="0"/>
                      <w:marBottom w:val="0"/>
                      <w:divBdr>
                        <w:top w:val="none" w:sz="0" w:space="0" w:color="auto"/>
                        <w:left w:val="none" w:sz="0" w:space="0" w:color="auto"/>
                        <w:bottom w:val="none" w:sz="0" w:space="0" w:color="auto"/>
                        <w:right w:val="none" w:sz="0" w:space="0" w:color="auto"/>
                      </w:divBdr>
                    </w:div>
                  </w:divsChild>
                </w:div>
                <w:div w:id="888494189">
                  <w:marLeft w:val="0"/>
                  <w:marRight w:val="0"/>
                  <w:marTop w:val="0"/>
                  <w:marBottom w:val="0"/>
                  <w:divBdr>
                    <w:top w:val="none" w:sz="0" w:space="0" w:color="auto"/>
                    <w:left w:val="none" w:sz="0" w:space="0" w:color="auto"/>
                    <w:bottom w:val="none" w:sz="0" w:space="0" w:color="auto"/>
                    <w:right w:val="none" w:sz="0" w:space="0" w:color="auto"/>
                  </w:divBdr>
                  <w:divsChild>
                    <w:div w:id="1826046645">
                      <w:marLeft w:val="0"/>
                      <w:marRight w:val="0"/>
                      <w:marTop w:val="0"/>
                      <w:marBottom w:val="0"/>
                      <w:divBdr>
                        <w:top w:val="none" w:sz="0" w:space="0" w:color="auto"/>
                        <w:left w:val="none" w:sz="0" w:space="0" w:color="auto"/>
                        <w:bottom w:val="none" w:sz="0" w:space="0" w:color="auto"/>
                        <w:right w:val="none" w:sz="0" w:space="0" w:color="auto"/>
                      </w:divBdr>
                    </w:div>
                  </w:divsChild>
                </w:div>
                <w:div w:id="892732985">
                  <w:marLeft w:val="0"/>
                  <w:marRight w:val="0"/>
                  <w:marTop w:val="0"/>
                  <w:marBottom w:val="0"/>
                  <w:divBdr>
                    <w:top w:val="none" w:sz="0" w:space="0" w:color="auto"/>
                    <w:left w:val="none" w:sz="0" w:space="0" w:color="auto"/>
                    <w:bottom w:val="none" w:sz="0" w:space="0" w:color="auto"/>
                    <w:right w:val="none" w:sz="0" w:space="0" w:color="auto"/>
                  </w:divBdr>
                  <w:divsChild>
                    <w:div w:id="1603024881">
                      <w:marLeft w:val="0"/>
                      <w:marRight w:val="0"/>
                      <w:marTop w:val="0"/>
                      <w:marBottom w:val="0"/>
                      <w:divBdr>
                        <w:top w:val="none" w:sz="0" w:space="0" w:color="auto"/>
                        <w:left w:val="none" w:sz="0" w:space="0" w:color="auto"/>
                        <w:bottom w:val="none" w:sz="0" w:space="0" w:color="auto"/>
                        <w:right w:val="none" w:sz="0" w:space="0" w:color="auto"/>
                      </w:divBdr>
                    </w:div>
                  </w:divsChild>
                </w:div>
                <w:div w:id="908540152">
                  <w:marLeft w:val="0"/>
                  <w:marRight w:val="0"/>
                  <w:marTop w:val="0"/>
                  <w:marBottom w:val="0"/>
                  <w:divBdr>
                    <w:top w:val="none" w:sz="0" w:space="0" w:color="auto"/>
                    <w:left w:val="none" w:sz="0" w:space="0" w:color="auto"/>
                    <w:bottom w:val="none" w:sz="0" w:space="0" w:color="auto"/>
                    <w:right w:val="none" w:sz="0" w:space="0" w:color="auto"/>
                  </w:divBdr>
                  <w:divsChild>
                    <w:div w:id="1605651683">
                      <w:marLeft w:val="0"/>
                      <w:marRight w:val="0"/>
                      <w:marTop w:val="0"/>
                      <w:marBottom w:val="0"/>
                      <w:divBdr>
                        <w:top w:val="none" w:sz="0" w:space="0" w:color="auto"/>
                        <w:left w:val="none" w:sz="0" w:space="0" w:color="auto"/>
                        <w:bottom w:val="none" w:sz="0" w:space="0" w:color="auto"/>
                        <w:right w:val="none" w:sz="0" w:space="0" w:color="auto"/>
                      </w:divBdr>
                    </w:div>
                  </w:divsChild>
                </w:div>
                <w:div w:id="988362140">
                  <w:marLeft w:val="0"/>
                  <w:marRight w:val="0"/>
                  <w:marTop w:val="0"/>
                  <w:marBottom w:val="0"/>
                  <w:divBdr>
                    <w:top w:val="none" w:sz="0" w:space="0" w:color="auto"/>
                    <w:left w:val="none" w:sz="0" w:space="0" w:color="auto"/>
                    <w:bottom w:val="none" w:sz="0" w:space="0" w:color="auto"/>
                    <w:right w:val="none" w:sz="0" w:space="0" w:color="auto"/>
                  </w:divBdr>
                  <w:divsChild>
                    <w:div w:id="1537622369">
                      <w:marLeft w:val="0"/>
                      <w:marRight w:val="0"/>
                      <w:marTop w:val="0"/>
                      <w:marBottom w:val="0"/>
                      <w:divBdr>
                        <w:top w:val="none" w:sz="0" w:space="0" w:color="auto"/>
                        <w:left w:val="none" w:sz="0" w:space="0" w:color="auto"/>
                        <w:bottom w:val="none" w:sz="0" w:space="0" w:color="auto"/>
                        <w:right w:val="none" w:sz="0" w:space="0" w:color="auto"/>
                      </w:divBdr>
                    </w:div>
                  </w:divsChild>
                </w:div>
                <w:div w:id="1070885993">
                  <w:marLeft w:val="0"/>
                  <w:marRight w:val="0"/>
                  <w:marTop w:val="0"/>
                  <w:marBottom w:val="0"/>
                  <w:divBdr>
                    <w:top w:val="none" w:sz="0" w:space="0" w:color="auto"/>
                    <w:left w:val="none" w:sz="0" w:space="0" w:color="auto"/>
                    <w:bottom w:val="none" w:sz="0" w:space="0" w:color="auto"/>
                    <w:right w:val="none" w:sz="0" w:space="0" w:color="auto"/>
                  </w:divBdr>
                  <w:divsChild>
                    <w:div w:id="1366249733">
                      <w:marLeft w:val="0"/>
                      <w:marRight w:val="0"/>
                      <w:marTop w:val="0"/>
                      <w:marBottom w:val="0"/>
                      <w:divBdr>
                        <w:top w:val="none" w:sz="0" w:space="0" w:color="auto"/>
                        <w:left w:val="none" w:sz="0" w:space="0" w:color="auto"/>
                        <w:bottom w:val="none" w:sz="0" w:space="0" w:color="auto"/>
                        <w:right w:val="none" w:sz="0" w:space="0" w:color="auto"/>
                      </w:divBdr>
                    </w:div>
                  </w:divsChild>
                </w:div>
                <w:div w:id="1230002250">
                  <w:marLeft w:val="0"/>
                  <w:marRight w:val="0"/>
                  <w:marTop w:val="0"/>
                  <w:marBottom w:val="0"/>
                  <w:divBdr>
                    <w:top w:val="none" w:sz="0" w:space="0" w:color="auto"/>
                    <w:left w:val="none" w:sz="0" w:space="0" w:color="auto"/>
                    <w:bottom w:val="none" w:sz="0" w:space="0" w:color="auto"/>
                    <w:right w:val="none" w:sz="0" w:space="0" w:color="auto"/>
                  </w:divBdr>
                  <w:divsChild>
                    <w:div w:id="171844636">
                      <w:marLeft w:val="0"/>
                      <w:marRight w:val="0"/>
                      <w:marTop w:val="0"/>
                      <w:marBottom w:val="0"/>
                      <w:divBdr>
                        <w:top w:val="none" w:sz="0" w:space="0" w:color="auto"/>
                        <w:left w:val="none" w:sz="0" w:space="0" w:color="auto"/>
                        <w:bottom w:val="none" w:sz="0" w:space="0" w:color="auto"/>
                        <w:right w:val="none" w:sz="0" w:space="0" w:color="auto"/>
                      </w:divBdr>
                    </w:div>
                  </w:divsChild>
                </w:div>
                <w:div w:id="1230114149">
                  <w:marLeft w:val="0"/>
                  <w:marRight w:val="0"/>
                  <w:marTop w:val="0"/>
                  <w:marBottom w:val="0"/>
                  <w:divBdr>
                    <w:top w:val="none" w:sz="0" w:space="0" w:color="auto"/>
                    <w:left w:val="none" w:sz="0" w:space="0" w:color="auto"/>
                    <w:bottom w:val="none" w:sz="0" w:space="0" w:color="auto"/>
                    <w:right w:val="none" w:sz="0" w:space="0" w:color="auto"/>
                  </w:divBdr>
                  <w:divsChild>
                    <w:div w:id="1622613376">
                      <w:marLeft w:val="0"/>
                      <w:marRight w:val="0"/>
                      <w:marTop w:val="0"/>
                      <w:marBottom w:val="0"/>
                      <w:divBdr>
                        <w:top w:val="none" w:sz="0" w:space="0" w:color="auto"/>
                        <w:left w:val="none" w:sz="0" w:space="0" w:color="auto"/>
                        <w:bottom w:val="none" w:sz="0" w:space="0" w:color="auto"/>
                        <w:right w:val="none" w:sz="0" w:space="0" w:color="auto"/>
                      </w:divBdr>
                    </w:div>
                  </w:divsChild>
                </w:div>
                <w:div w:id="1339039824">
                  <w:marLeft w:val="0"/>
                  <w:marRight w:val="0"/>
                  <w:marTop w:val="0"/>
                  <w:marBottom w:val="0"/>
                  <w:divBdr>
                    <w:top w:val="none" w:sz="0" w:space="0" w:color="auto"/>
                    <w:left w:val="none" w:sz="0" w:space="0" w:color="auto"/>
                    <w:bottom w:val="none" w:sz="0" w:space="0" w:color="auto"/>
                    <w:right w:val="none" w:sz="0" w:space="0" w:color="auto"/>
                  </w:divBdr>
                  <w:divsChild>
                    <w:div w:id="1918392825">
                      <w:marLeft w:val="0"/>
                      <w:marRight w:val="0"/>
                      <w:marTop w:val="0"/>
                      <w:marBottom w:val="0"/>
                      <w:divBdr>
                        <w:top w:val="none" w:sz="0" w:space="0" w:color="auto"/>
                        <w:left w:val="none" w:sz="0" w:space="0" w:color="auto"/>
                        <w:bottom w:val="none" w:sz="0" w:space="0" w:color="auto"/>
                        <w:right w:val="none" w:sz="0" w:space="0" w:color="auto"/>
                      </w:divBdr>
                    </w:div>
                  </w:divsChild>
                </w:div>
                <w:div w:id="1380327466">
                  <w:marLeft w:val="0"/>
                  <w:marRight w:val="0"/>
                  <w:marTop w:val="0"/>
                  <w:marBottom w:val="0"/>
                  <w:divBdr>
                    <w:top w:val="none" w:sz="0" w:space="0" w:color="auto"/>
                    <w:left w:val="none" w:sz="0" w:space="0" w:color="auto"/>
                    <w:bottom w:val="none" w:sz="0" w:space="0" w:color="auto"/>
                    <w:right w:val="none" w:sz="0" w:space="0" w:color="auto"/>
                  </w:divBdr>
                  <w:divsChild>
                    <w:div w:id="2079160287">
                      <w:marLeft w:val="0"/>
                      <w:marRight w:val="0"/>
                      <w:marTop w:val="0"/>
                      <w:marBottom w:val="0"/>
                      <w:divBdr>
                        <w:top w:val="none" w:sz="0" w:space="0" w:color="auto"/>
                        <w:left w:val="none" w:sz="0" w:space="0" w:color="auto"/>
                        <w:bottom w:val="none" w:sz="0" w:space="0" w:color="auto"/>
                        <w:right w:val="none" w:sz="0" w:space="0" w:color="auto"/>
                      </w:divBdr>
                    </w:div>
                  </w:divsChild>
                </w:div>
                <w:div w:id="1382558033">
                  <w:marLeft w:val="0"/>
                  <w:marRight w:val="0"/>
                  <w:marTop w:val="0"/>
                  <w:marBottom w:val="0"/>
                  <w:divBdr>
                    <w:top w:val="none" w:sz="0" w:space="0" w:color="auto"/>
                    <w:left w:val="none" w:sz="0" w:space="0" w:color="auto"/>
                    <w:bottom w:val="none" w:sz="0" w:space="0" w:color="auto"/>
                    <w:right w:val="none" w:sz="0" w:space="0" w:color="auto"/>
                  </w:divBdr>
                  <w:divsChild>
                    <w:div w:id="220362425">
                      <w:marLeft w:val="0"/>
                      <w:marRight w:val="0"/>
                      <w:marTop w:val="0"/>
                      <w:marBottom w:val="0"/>
                      <w:divBdr>
                        <w:top w:val="none" w:sz="0" w:space="0" w:color="auto"/>
                        <w:left w:val="none" w:sz="0" w:space="0" w:color="auto"/>
                        <w:bottom w:val="none" w:sz="0" w:space="0" w:color="auto"/>
                        <w:right w:val="none" w:sz="0" w:space="0" w:color="auto"/>
                      </w:divBdr>
                    </w:div>
                  </w:divsChild>
                </w:div>
                <w:div w:id="1537741595">
                  <w:marLeft w:val="0"/>
                  <w:marRight w:val="0"/>
                  <w:marTop w:val="0"/>
                  <w:marBottom w:val="0"/>
                  <w:divBdr>
                    <w:top w:val="none" w:sz="0" w:space="0" w:color="auto"/>
                    <w:left w:val="none" w:sz="0" w:space="0" w:color="auto"/>
                    <w:bottom w:val="none" w:sz="0" w:space="0" w:color="auto"/>
                    <w:right w:val="none" w:sz="0" w:space="0" w:color="auto"/>
                  </w:divBdr>
                  <w:divsChild>
                    <w:div w:id="891304046">
                      <w:marLeft w:val="0"/>
                      <w:marRight w:val="0"/>
                      <w:marTop w:val="0"/>
                      <w:marBottom w:val="0"/>
                      <w:divBdr>
                        <w:top w:val="none" w:sz="0" w:space="0" w:color="auto"/>
                        <w:left w:val="none" w:sz="0" w:space="0" w:color="auto"/>
                        <w:bottom w:val="none" w:sz="0" w:space="0" w:color="auto"/>
                        <w:right w:val="none" w:sz="0" w:space="0" w:color="auto"/>
                      </w:divBdr>
                    </w:div>
                  </w:divsChild>
                </w:div>
                <w:div w:id="1563902097">
                  <w:marLeft w:val="0"/>
                  <w:marRight w:val="0"/>
                  <w:marTop w:val="0"/>
                  <w:marBottom w:val="0"/>
                  <w:divBdr>
                    <w:top w:val="none" w:sz="0" w:space="0" w:color="auto"/>
                    <w:left w:val="none" w:sz="0" w:space="0" w:color="auto"/>
                    <w:bottom w:val="none" w:sz="0" w:space="0" w:color="auto"/>
                    <w:right w:val="none" w:sz="0" w:space="0" w:color="auto"/>
                  </w:divBdr>
                  <w:divsChild>
                    <w:div w:id="386683428">
                      <w:marLeft w:val="0"/>
                      <w:marRight w:val="0"/>
                      <w:marTop w:val="0"/>
                      <w:marBottom w:val="0"/>
                      <w:divBdr>
                        <w:top w:val="none" w:sz="0" w:space="0" w:color="auto"/>
                        <w:left w:val="none" w:sz="0" w:space="0" w:color="auto"/>
                        <w:bottom w:val="none" w:sz="0" w:space="0" w:color="auto"/>
                        <w:right w:val="none" w:sz="0" w:space="0" w:color="auto"/>
                      </w:divBdr>
                    </w:div>
                  </w:divsChild>
                </w:div>
                <w:div w:id="1640964002">
                  <w:marLeft w:val="0"/>
                  <w:marRight w:val="0"/>
                  <w:marTop w:val="0"/>
                  <w:marBottom w:val="0"/>
                  <w:divBdr>
                    <w:top w:val="none" w:sz="0" w:space="0" w:color="auto"/>
                    <w:left w:val="none" w:sz="0" w:space="0" w:color="auto"/>
                    <w:bottom w:val="none" w:sz="0" w:space="0" w:color="auto"/>
                    <w:right w:val="none" w:sz="0" w:space="0" w:color="auto"/>
                  </w:divBdr>
                  <w:divsChild>
                    <w:div w:id="1877497457">
                      <w:marLeft w:val="0"/>
                      <w:marRight w:val="0"/>
                      <w:marTop w:val="0"/>
                      <w:marBottom w:val="0"/>
                      <w:divBdr>
                        <w:top w:val="none" w:sz="0" w:space="0" w:color="auto"/>
                        <w:left w:val="none" w:sz="0" w:space="0" w:color="auto"/>
                        <w:bottom w:val="none" w:sz="0" w:space="0" w:color="auto"/>
                        <w:right w:val="none" w:sz="0" w:space="0" w:color="auto"/>
                      </w:divBdr>
                    </w:div>
                  </w:divsChild>
                </w:div>
                <w:div w:id="1650162808">
                  <w:marLeft w:val="0"/>
                  <w:marRight w:val="0"/>
                  <w:marTop w:val="0"/>
                  <w:marBottom w:val="0"/>
                  <w:divBdr>
                    <w:top w:val="none" w:sz="0" w:space="0" w:color="auto"/>
                    <w:left w:val="none" w:sz="0" w:space="0" w:color="auto"/>
                    <w:bottom w:val="none" w:sz="0" w:space="0" w:color="auto"/>
                    <w:right w:val="none" w:sz="0" w:space="0" w:color="auto"/>
                  </w:divBdr>
                  <w:divsChild>
                    <w:div w:id="1645961836">
                      <w:marLeft w:val="0"/>
                      <w:marRight w:val="0"/>
                      <w:marTop w:val="0"/>
                      <w:marBottom w:val="0"/>
                      <w:divBdr>
                        <w:top w:val="none" w:sz="0" w:space="0" w:color="auto"/>
                        <w:left w:val="none" w:sz="0" w:space="0" w:color="auto"/>
                        <w:bottom w:val="none" w:sz="0" w:space="0" w:color="auto"/>
                        <w:right w:val="none" w:sz="0" w:space="0" w:color="auto"/>
                      </w:divBdr>
                    </w:div>
                  </w:divsChild>
                </w:div>
                <w:div w:id="1854954617">
                  <w:marLeft w:val="0"/>
                  <w:marRight w:val="0"/>
                  <w:marTop w:val="0"/>
                  <w:marBottom w:val="0"/>
                  <w:divBdr>
                    <w:top w:val="none" w:sz="0" w:space="0" w:color="auto"/>
                    <w:left w:val="none" w:sz="0" w:space="0" w:color="auto"/>
                    <w:bottom w:val="none" w:sz="0" w:space="0" w:color="auto"/>
                    <w:right w:val="none" w:sz="0" w:space="0" w:color="auto"/>
                  </w:divBdr>
                  <w:divsChild>
                    <w:div w:id="1690909539">
                      <w:marLeft w:val="0"/>
                      <w:marRight w:val="0"/>
                      <w:marTop w:val="0"/>
                      <w:marBottom w:val="0"/>
                      <w:divBdr>
                        <w:top w:val="none" w:sz="0" w:space="0" w:color="auto"/>
                        <w:left w:val="none" w:sz="0" w:space="0" w:color="auto"/>
                        <w:bottom w:val="none" w:sz="0" w:space="0" w:color="auto"/>
                        <w:right w:val="none" w:sz="0" w:space="0" w:color="auto"/>
                      </w:divBdr>
                    </w:div>
                  </w:divsChild>
                </w:div>
                <w:div w:id="1856265386">
                  <w:marLeft w:val="0"/>
                  <w:marRight w:val="0"/>
                  <w:marTop w:val="0"/>
                  <w:marBottom w:val="0"/>
                  <w:divBdr>
                    <w:top w:val="none" w:sz="0" w:space="0" w:color="auto"/>
                    <w:left w:val="none" w:sz="0" w:space="0" w:color="auto"/>
                    <w:bottom w:val="none" w:sz="0" w:space="0" w:color="auto"/>
                    <w:right w:val="none" w:sz="0" w:space="0" w:color="auto"/>
                  </w:divBdr>
                  <w:divsChild>
                    <w:div w:id="575865095">
                      <w:marLeft w:val="0"/>
                      <w:marRight w:val="0"/>
                      <w:marTop w:val="0"/>
                      <w:marBottom w:val="0"/>
                      <w:divBdr>
                        <w:top w:val="none" w:sz="0" w:space="0" w:color="auto"/>
                        <w:left w:val="none" w:sz="0" w:space="0" w:color="auto"/>
                        <w:bottom w:val="none" w:sz="0" w:space="0" w:color="auto"/>
                        <w:right w:val="none" w:sz="0" w:space="0" w:color="auto"/>
                      </w:divBdr>
                    </w:div>
                  </w:divsChild>
                </w:div>
                <w:div w:id="1866284851">
                  <w:marLeft w:val="0"/>
                  <w:marRight w:val="0"/>
                  <w:marTop w:val="0"/>
                  <w:marBottom w:val="0"/>
                  <w:divBdr>
                    <w:top w:val="none" w:sz="0" w:space="0" w:color="auto"/>
                    <w:left w:val="none" w:sz="0" w:space="0" w:color="auto"/>
                    <w:bottom w:val="none" w:sz="0" w:space="0" w:color="auto"/>
                    <w:right w:val="none" w:sz="0" w:space="0" w:color="auto"/>
                  </w:divBdr>
                  <w:divsChild>
                    <w:div w:id="1739552833">
                      <w:marLeft w:val="0"/>
                      <w:marRight w:val="0"/>
                      <w:marTop w:val="0"/>
                      <w:marBottom w:val="0"/>
                      <w:divBdr>
                        <w:top w:val="none" w:sz="0" w:space="0" w:color="auto"/>
                        <w:left w:val="none" w:sz="0" w:space="0" w:color="auto"/>
                        <w:bottom w:val="none" w:sz="0" w:space="0" w:color="auto"/>
                        <w:right w:val="none" w:sz="0" w:space="0" w:color="auto"/>
                      </w:divBdr>
                    </w:div>
                  </w:divsChild>
                </w:div>
                <w:div w:id="1913539258">
                  <w:marLeft w:val="0"/>
                  <w:marRight w:val="0"/>
                  <w:marTop w:val="0"/>
                  <w:marBottom w:val="0"/>
                  <w:divBdr>
                    <w:top w:val="none" w:sz="0" w:space="0" w:color="auto"/>
                    <w:left w:val="none" w:sz="0" w:space="0" w:color="auto"/>
                    <w:bottom w:val="none" w:sz="0" w:space="0" w:color="auto"/>
                    <w:right w:val="none" w:sz="0" w:space="0" w:color="auto"/>
                  </w:divBdr>
                  <w:divsChild>
                    <w:div w:id="161435923">
                      <w:marLeft w:val="0"/>
                      <w:marRight w:val="0"/>
                      <w:marTop w:val="0"/>
                      <w:marBottom w:val="0"/>
                      <w:divBdr>
                        <w:top w:val="none" w:sz="0" w:space="0" w:color="auto"/>
                        <w:left w:val="none" w:sz="0" w:space="0" w:color="auto"/>
                        <w:bottom w:val="none" w:sz="0" w:space="0" w:color="auto"/>
                        <w:right w:val="none" w:sz="0" w:space="0" w:color="auto"/>
                      </w:divBdr>
                    </w:div>
                  </w:divsChild>
                </w:div>
                <w:div w:id="2114665313">
                  <w:marLeft w:val="0"/>
                  <w:marRight w:val="0"/>
                  <w:marTop w:val="0"/>
                  <w:marBottom w:val="0"/>
                  <w:divBdr>
                    <w:top w:val="none" w:sz="0" w:space="0" w:color="auto"/>
                    <w:left w:val="none" w:sz="0" w:space="0" w:color="auto"/>
                    <w:bottom w:val="none" w:sz="0" w:space="0" w:color="auto"/>
                    <w:right w:val="none" w:sz="0" w:space="0" w:color="auto"/>
                  </w:divBdr>
                  <w:divsChild>
                    <w:div w:id="1835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07069">
      <w:bodyDiv w:val="1"/>
      <w:marLeft w:val="0"/>
      <w:marRight w:val="0"/>
      <w:marTop w:val="0"/>
      <w:marBottom w:val="0"/>
      <w:divBdr>
        <w:top w:val="none" w:sz="0" w:space="0" w:color="auto"/>
        <w:left w:val="none" w:sz="0" w:space="0" w:color="auto"/>
        <w:bottom w:val="none" w:sz="0" w:space="0" w:color="auto"/>
        <w:right w:val="none" w:sz="0" w:space="0" w:color="auto"/>
      </w:divBdr>
    </w:div>
    <w:div w:id="1495144519">
      <w:bodyDiv w:val="1"/>
      <w:marLeft w:val="0"/>
      <w:marRight w:val="0"/>
      <w:marTop w:val="0"/>
      <w:marBottom w:val="0"/>
      <w:divBdr>
        <w:top w:val="none" w:sz="0" w:space="0" w:color="auto"/>
        <w:left w:val="none" w:sz="0" w:space="0" w:color="auto"/>
        <w:bottom w:val="none" w:sz="0" w:space="0" w:color="auto"/>
        <w:right w:val="none" w:sz="0" w:space="0" w:color="auto"/>
      </w:divBdr>
    </w:div>
    <w:div w:id="1548562475">
      <w:bodyDiv w:val="1"/>
      <w:marLeft w:val="0"/>
      <w:marRight w:val="0"/>
      <w:marTop w:val="0"/>
      <w:marBottom w:val="0"/>
      <w:divBdr>
        <w:top w:val="none" w:sz="0" w:space="0" w:color="auto"/>
        <w:left w:val="none" w:sz="0" w:space="0" w:color="auto"/>
        <w:bottom w:val="none" w:sz="0" w:space="0" w:color="auto"/>
        <w:right w:val="none" w:sz="0" w:space="0" w:color="auto"/>
      </w:divBdr>
    </w:div>
    <w:div w:id="1566604655">
      <w:bodyDiv w:val="1"/>
      <w:marLeft w:val="0"/>
      <w:marRight w:val="0"/>
      <w:marTop w:val="0"/>
      <w:marBottom w:val="0"/>
      <w:divBdr>
        <w:top w:val="none" w:sz="0" w:space="0" w:color="auto"/>
        <w:left w:val="none" w:sz="0" w:space="0" w:color="auto"/>
        <w:bottom w:val="none" w:sz="0" w:space="0" w:color="auto"/>
        <w:right w:val="none" w:sz="0" w:space="0" w:color="auto"/>
      </w:divBdr>
    </w:div>
    <w:div w:id="1755082649">
      <w:bodyDiv w:val="1"/>
      <w:marLeft w:val="0"/>
      <w:marRight w:val="0"/>
      <w:marTop w:val="0"/>
      <w:marBottom w:val="0"/>
      <w:divBdr>
        <w:top w:val="none" w:sz="0" w:space="0" w:color="auto"/>
        <w:left w:val="none" w:sz="0" w:space="0" w:color="auto"/>
        <w:bottom w:val="none" w:sz="0" w:space="0" w:color="auto"/>
        <w:right w:val="none" w:sz="0" w:space="0" w:color="auto"/>
      </w:divBdr>
    </w:div>
    <w:div w:id="1761828184">
      <w:bodyDiv w:val="1"/>
      <w:marLeft w:val="0"/>
      <w:marRight w:val="0"/>
      <w:marTop w:val="0"/>
      <w:marBottom w:val="0"/>
      <w:divBdr>
        <w:top w:val="none" w:sz="0" w:space="0" w:color="auto"/>
        <w:left w:val="none" w:sz="0" w:space="0" w:color="auto"/>
        <w:bottom w:val="none" w:sz="0" w:space="0" w:color="auto"/>
        <w:right w:val="none" w:sz="0" w:space="0" w:color="auto"/>
      </w:divBdr>
    </w:div>
    <w:div w:id="20830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3A69-44A2-4CC3-AD25-D0A372E2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13134</Words>
  <Characters>72238</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Cauich Castilla</dc:creator>
  <cp:lastModifiedBy>Mildred Manzanilla</cp:lastModifiedBy>
  <cp:revision>2</cp:revision>
  <dcterms:created xsi:type="dcterms:W3CDTF">2019-12-15T17:54:00Z</dcterms:created>
  <dcterms:modified xsi:type="dcterms:W3CDTF">2019-12-15T17:54:00Z</dcterms:modified>
</cp:coreProperties>
</file>